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Framework Schedule 7 (Call-Off Award Procedure</w:t>
      </w:r>
      <w:bookmarkStart w:colFirst="0" w:colLast="0" w:name="bookmark=id.gjdgxs" w:id="0"/>
      <w:bookmarkEnd w:id="0"/>
      <w:r w:rsidDel="00000000" w:rsidR="00000000" w:rsidRPr="00000000">
        <w:rPr>
          <w:rFonts w:ascii="Arial" w:cs="Arial" w:eastAsia="Arial" w:hAnsi="Arial"/>
          <w:b w:val="1"/>
          <w:color w:val="000000"/>
          <w:sz w:val="36"/>
          <w:szCs w:val="36"/>
          <w:rtl w:val="0"/>
        </w:rPr>
        <w:t xml:space="preserve">) </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Part 1: Order Procedure</w:t>
      </w:r>
    </w:p>
    <w:p w:rsidR="00000000" w:rsidDel="00000000" w:rsidP="00000000" w:rsidRDefault="00000000" w:rsidRPr="00000000" w14:paraId="00000003">
      <w:pPr>
        <w:keepNext w:val="1"/>
        <w:widowControl w:val="1"/>
        <w:numPr>
          <w:ilvl w:val="0"/>
          <w:numId w:val="4"/>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Call-Off Contract is awarded</w:t>
      </w:r>
    </w:p>
    <w:p w:rsidR="00000000" w:rsidDel="00000000" w:rsidP="00000000" w:rsidRDefault="00000000" w:rsidRPr="00000000" w14:paraId="00000004">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If a potential Buyer decides to source Deliverables through this Contract then it will award its Deliverables in accordance with the procedure in this Schedule and the requirements of the Regulations.</w:t>
      </w:r>
    </w:p>
    <w:p w:rsidR="00000000" w:rsidDel="00000000" w:rsidP="00000000" w:rsidRDefault="00000000" w:rsidRPr="00000000" w14:paraId="00000005">
      <w:pPr>
        <w:widowControl w:val="1"/>
        <w:tabs>
          <w:tab w:val="left" w:pos="3054"/>
        </w:tabs>
        <w:spacing w:after="120" w:before="120" w:lineRule="auto"/>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Choosing whether to direct award or run a further competition</w:t>
      </w:r>
      <w:r w:rsidDel="00000000" w:rsidR="00000000" w:rsidRPr="00000000">
        <w:rPr>
          <w:rtl w:val="0"/>
        </w:rPr>
      </w:r>
    </w:p>
    <w:p w:rsidR="00000000" w:rsidDel="00000000" w:rsidP="00000000" w:rsidRDefault="00000000" w:rsidRPr="00000000" w14:paraId="00000006">
      <w:pPr>
        <w:widowControl w:val="1"/>
        <w:tabs>
          <w:tab w:val="left" w:pos="3054"/>
        </w:tabs>
        <w:spacing w:after="120" w:before="120" w:lineRule="auto"/>
        <w:ind w:left="360" w:firstLine="0"/>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z w:val="24"/>
          <w:szCs w:val="24"/>
          <w:rtl w:val="0"/>
        </w:rPr>
        <w:t xml:space="preserve">For all Lots (e.g. Lots 1, 2, 3, 4 and 5), a potential Buyer may choose to award a Call-Off Contract by either:</w:t>
      </w:r>
      <w:r w:rsidDel="00000000" w:rsidR="00000000" w:rsidRPr="00000000">
        <w:rPr>
          <w:rtl w:val="0"/>
        </w:rPr>
      </w:r>
    </w:p>
    <w:p w:rsidR="00000000" w:rsidDel="00000000" w:rsidP="00000000" w:rsidRDefault="00000000" w:rsidRPr="00000000" w14:paraId="00000007">
      <w:pPr>
        <w:widowControl w:val="1"/>
        <w:pBdr>
          <w:top w:space="0" w:sz="0" w:val="nil"/>
          <w:left w:space="0" w:sz="0" w:val="nil"/>
          <w:bottom w:space="0" w:sz="0" w:val="nil"/>
          <w:right w:space="0" w:sz="0" w:val="nil"/>
          <w:between w:space="0" w:sz="0" w:val="nil"/>
        </w:pBdr>
        <w:tabs>
          <w:tab w:val="left" w:pos="3054"/>
        </w:tabs>
        <w:spacing w:after="120" w:before="120" w:lineRule="auto"/>
        <w:ind w:left="360" w:firstLine="0"/>
        <w:rPr>
          <w:rFonts w:ascii="Arial" w:cs="Arial" w:eastAsia="Arial" w:hAnsi="Arial"/>
          <w:sz w:val="24"/>
          <w:szCs w:val="24"/>
        </w:rPr>
      </w:pPr>
      <w:bookmarkStart w:colFirst="0" w:colLast="0" w:name="_heading=h.ggra5jkrjufb" w:id="3"/>
      <w:bookmarkEnd w:id="3"/>
      <w:r w:rsidDel="00000000" w:rsidR="00000000" w:rsidRPr="00000000">
        <w:rPr>
          <w:rtl w:val="0"/>
        </w:rPr>
      </w:r>
    </w:p>
    <w:p w:rsidR="00000000" w:rsidDel="00000000" w:rsidP="00000000" w:rsidRDefault="00000000" w:rsidRPr="00000000" w14:paraId="00000008">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If the potential Buyer can determine that:</w:t>
      </w:r>
    </w:p>
    <w:p w:rsidR="00000000" w:rsidDel="00000000" w:rsidP="00000000" w:rsidRDefault="00000000" w:rsidRPr="00000000" w14:paraId="00000009">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0A">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of the terms of the proposed Call-Off Contract are laid down in this Contract and do not require amendment or any supplementary terms and conditions;</w:t>
      </w:r>
    </w:p>
    <w:p w:rsidR="00000000" w:rsidDel="00000000" w:rsidP="00000000" w:rsidRDefault="00000000" w:rsidRPr="00000000" w14:paraId="0000000B">
      <w:pPr>
        <w:widowControl w:val="1"/>
        <w:pBdr>
          <w:top w:space="0" w:sz="0" w:val="nil"/>
          <w:left w:space="0" w:sz="0" w:val="nil"/>
          <w:bottom w:space="0" w:sz="0" w:val="nil"/>
          <w:right w:space="0" w:sz="0" w:val="nil"/>
          <w:between w:space="0" w:sz="0" w:val="nil"/>
        </w:pBdr>
        <w:tabs>
          <w:tab w:val="left" w:pos="4536"/>
        </w:tabs>
        <w:spacing w:after="2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procedure set out in Paragraph 2 below.</w:t>
      </w:r>
      <w:r w:rsidDel="00000000" w:rsidR="00000000" w:rsidRPr="00000000">
        <w:rPr>
          <w:rtl w:val="0"/>
        </w:rPr>
      </w:r>
    </w:p>
    <w:p w:rsidR="00000000" w:rsidDel="00000000" w:rsidP="00000000" w:rsidRDefault="00000000" w:rsidRPr="00000000" w14:paraId="0000000C">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all of the terms of the proposed Call-Off Contract are not laid down in this Contract and the potential Buyer:</w:t>
      </w:r>
    </w:p>
    <w:p w:rsidR="00000000" w:rsidDel="00000000" w:rsidP="00000000" w:rsidRDefault="00000000" w:rsidRPr="00000000" w14:paraId="0000000D">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requires the Supplier to develop proposals or a solution in respect of such Deliverables; and/or</w:t>
      </w:r>
    </w:p>
    <w:p w:rsidR="00000000" w:rsidDel="00000000" w:rsidP="00000000" w:rsidRDefault="00000000" w:rsidRPr="00000000" w14:paraId="0000000E">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needs to amend or refine the terms of the Framework Contract to reflect its Deliverables to the extent permitted by and in accordance with the Regulations;</w:t>
      </w:r>
    </w:p>
    <w:p w:rsidR="00000000" w:rsidDel="00000000" w:rsidP="00000000" w:rsidRDefault="00000000" w:rsidRPr="00000000" w14:paraId="0000000F">
      <w:pPr>
        <w:widowControl w:val="1"/>
        <w:pBdr>
          <w:top w:space="0" w:sz="0" w:val="nil"/>
          <w:left w:space="0" w:sz="0" w:val="nil"/>
          <w:bottom w:space="0" w:sz="0" w:val="nil"/>
          <w:right w:space="0" w:sz="0" w:val="nil"/>
          <w:between w:space="0" w:sz="0" w:val="nil"/>
        </w:pBdr>
        <w:tabs>
          <w:tab w:val="left" w:pos="4536"/>
        </w:tabs>
        <w:spacing w:after="220" w:lineRule="auto"/>
        <w:ind w:left="90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Further Competition Procedure set out in Paragraph 3 below.</w:t>
      </w:r>
      <w:r w:rsidDel="00000000" w:rsidR="00000000" w:rsidRPr="00000000">
        <w:rPr>
          <w:rtl w:val="0"/>
        </w:rPr>
      </w:r>
    </w:p>
    <w:p w:rsidR="00000000" w:rsidDel="00000000" w:rsidP="00000000" w:rsidRDefault="00000000" w:rsidRPr="00000000" w14:paraId="00000010">
      <w:pPr>
        <w:widowControl w:val="1"/>
        <w:pBdr>
          <w:top w:space="0" w:sz="0" w:val="nil"/>
          <w:left w:space="0" w:sz="0" w:val="nil"/>
          <w:bottom w:space="0" w:sz="0" w:val="nil"/>
          <w:right w:space="0" w:sz="0" w:val="nil"/>
          <w:between w:space="0" w:sz="0" w:val="nil"/>
        </w:pBdr>
        <w:tabs>
          <w:tab w:val="left" w:pos="4536"/>
        </w:tabs>
        <w:spacing w:after="220" w:lineRule="auto"/>
        <w:ind w:left="9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tabs>
          <w:tab w:val="left" w:pos="4536"/>
        </w:tabs>
        <w:spacing w:after="220" w:lineRule="auto"/>
        <w:ind w:left="9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keepNext w:val="1"/>
        <w:widowControl w:val="1"/>
        <w:numPr>
          <w:ilvl w:val="0"/>
          <w:numId w:val="3"/>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direct award works</w:t>
      </w:r>
      <w:r w:rsidDel="00000000" w:rsidR="00000000" w:rsidRPr="00000000">
        <w:rPr>
          <w:rtl w:val="0"/>
        </w:rPr>
      </w:r>
    </w:p>
    <w:p w:rsidR="00000000" w:rsidDel="00000000" w:rsidP="00000000" w:rsidRDefault="00000000" w:rsidRPr="00000000" w14:paraId="00000013">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1.2 above the Buyer awarding a Call-Off Contract under this Contract without holding a further competition shall:</w:t>
      </w:r>
    </w:p>
    <w:p w:rsidR="00000000" w:rsidDel="00000000" w:rsidP="00000000" w:rsidRDefault="00000000" w:rsidRPr="00000000" w14:paraId="00000014">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develop a clear Statement of Requirements;</w:t>
      </w:r>
    </w:p>
    <w:p w:rsidR="00000000" w:rsidDel="00000000" w:rsidP="00000000" w:rsidRDefault="00000000" w:rsidRPr="00000000" w14:paraId="00000015">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the direct award criteria to the Suppliers’ catalogues and description of the Deliverables as set out in Framework Schedule 1 (Specification) and </w:t>
      </w:r>
      <w:r w:rsidDel="00000000" w:rsidR="00000000" w:rsidRPr="00000000">
        <w:rPr>
          <w:rFonts w:ascii="Arial" w:cs="Arial" w:eastAsia="Arial" w:hAnsi="Arial"/>
          <w:color w:val="000000"/>
          <w:sz w:val="24"/>
          <w:szCs w:val="24"/>
          <w:rtl w:val="0"/>
        </w:rPr>
        <w:t xml:space="preserve">Framework Schedule 2 (Framework Tender)</w:t>
      </w:r>
      <w:r w:rsidDel="00000000" w:rsidR="00000000" w:rsidRPr="00000000">
        <w:rPr>
          <w:rFonts w:ascii="Arial" w:cs="Arial" w:eastAsia="Arial" w:hAnsi="Arial"/>
          <w:color w:val="000000"/>
          <w:sz w:val="24"/>
          <w:szCs w:val="24"/>
          <w:rtl w:val="0"/>
        </w:rPr>
        <w:t xml:space="preserve"> for all Suppliers capable of meeting the Statement of Requirements in order to establish which Supplier provides the most economically advantageous solution; and</w:t>
      </w:r>
    </w:p>
    <w:p w:rsidR="00000000" w:rsidDel="00000000" w:rsidP="00000000" w:rsidRDefault="00000000" w:rsidRPr="00000000" w14:paraId="00000016">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basis set out above, award the Call-Off Contract with the successful Supplier in accordance with Paragraph 6 below.</w:t>
      </w:r>
    </w:p>
    <w:p w:rsidR="00000000" w:rsidDel="00000000" w:rsidP="00000000" w:rsidRDefault="00000000" w:rsidRPr="00000000" w14:paraId="00000017">
      <w:pPr>
        <w:widowControl w:val="1"/>
        <w:pBdr>
          <w:top w:space="0" w:sz="0" w:val="nil"/>
          <w:left w:space="0" w:sz="0" w:val="nil"/>
          <w:bottom w:space="0" w:sz="0" w:val="nil"/>
          <w:right w:space="0" w:sz="0" w:val="nil"/>
          <w:between w:space="0" w:sz="0" w:val="nil"/>
        </w:pBdr>
        <w:tabs>
          <w:tab w:val="left" w:pos="3641"/>
        </w:tabs>
        <w:spacing w:after="120" w:before="120" w:lineRule="auto"/>
        <w:ind w:left="1985"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8">
      <w:pPr>
        <w:keepNext w:val="1"/>
        <w:widowControl w:val="1"/>
        <w:numPr>
          <w:ilvl w:val="0"/>
          <w:numId w:val="3"/>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further competition works</w:t>
      </w:r>
    </w:p>
    <w:p w:rsidR="00000000" w:rsidDel="00000000" w:rsidP="00000000" w:rsidRDefault="00000000" w:rsidRPr="00000000" w14:paraId="00000019">
      <w:pPr>
        <w:keepNext w:val="1"/>
        <w:widowControl w:val="1"/>
        <w:pBdr>
          <w:top w:space="0" w:sz="0" w:val="nil"/>
          <w:left w:space="0" w:sz="0" w:val="nil"/>
          <w:bottom w:space="0" w:sz="0" w:val="nil"/>
          <w:right w:space="0" w:sz="0" w:val="nil"/>
          <w:between w:space="0" w:sz="0" w:val="nil"/>
        </w:pBdr>
        <w:tabs>
          <w:tab w:val="left" w:pos="3054"/>
        </w:tabs>
        <w:spacing w:after="120" w:before="120" w:lineRule="auto"/>
        <w:ind w:left="1134" w:hanging="77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Buyer has to do</w:t>
      </w:r>
    </w:p>
    <w:p w:rsidR="00000000" w:rsidDel="00000000" w:rsidP="00000000" w:rsidRDefault="00000000" w:rsidRPr="00000000" w14:paraId="0000001A">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awarding a Call-Off Contract under this Contract through a Further Competition Procedure shall:</w:t>
      </w:r>
    </w:p>
    <w:p w:rsidR="00000000" w:rsidDel="00000000" w:rsidP="00000000" w:rsidRDefault="00000000" w:rsidRPr="00000000" w14:paraId="0000001B">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bookmarkStart w:colFirst="0" w:colLast="0" w:name="_heading=h.3znysh7" w:id="4"/>
      <w:bookmarkEnd w:id="4"/>
      <w:r w:rsidDel="00000000" w:rsidR="00000000" w:rsidRPr="00000000">
        <w:rPr>
          <w:rFonts w:ascii="Arial" w:cs="Arial" w:eastAsia="Arial" w:hAnsi="Arial"/>
          <w:color w:val="000000"/>
          <w:sz w:val="24"/>
          <w:szCs w:val="24"/>
          <w:rtl w:val="0"/>
        </w:rPr>
        <w:t xml:space="preserve">develop a Statement of Requirements setting out its requirements for the Deliverables and identify the Suppliers capable of supplying the them;</w:t>
      </w:r>
    </w:p>
    <w:p w:rsidR="00000000" w:rsidDel="00000000" w:rsidP="00000000" w:rsidRDefault="00000000" w:rsidRPr="00000000" w14:paraId="0000001C">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bookmarkStart w:colFirst="0" w:colLast="0" w:name="_heading=h.2et92p0" w:id="5"/>
      <w:bookmarkEnd w:id="5"/>
      <w:r w:rsidDel="00000000" w:rsidR="00000000" w:rsidRPr="00000000">
        <w:rPr>
          <w:rFonts w:ascii="Arial" w:cs="Arial" w:eastAsia="Arial" w:hAnsi="Arial"/>
          <w:color w:val="000000"/>
          <w:sz w:val="24"/>
          <w:szCs w:val="24"/>
          <w:rtl w:val="0"/>
        </w:rPr>
        <w:t xml:space="preserve">amend or refine the Deliverables to reflect its requirements by using the Order Form only to the extent permitted by and in accordance with the requirements of the Regulations;</w:t>
      </w:r>
    </w:p>
    <w:p w:rsidR="00000000" w:rsidDel="00000000" w:rsidP="00000000" w:rsidRDefault="00000000" w:rsidRPr="00000000" w14:paraId="0000001D">
      <w:pPr>
        <w:keepNext w:val="1"/>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bookmarkStart w:colFirst="0" w:colLast="0" w:name="_heading=h.tyjcwt" w:id="6"/>
      <w:bookmarkEnd w:id="6"/>
      <w:r w:rsidDel="00000000" w:rsidR="00000000" w:rsidRPr="00000000">
        <w:rPr>
          <w:rFonts w:ascii="Arial" w:cs="Arial" w:eastAsia="Arial" w:hAnsi="Arial"/>
          <w:color w:val="000000"/>
          <w:sz w:val="24"/>
          <w:szCs w:val="24"/>
          <w:rtl w:val="0"/>
        </w:rPr>
        <w:t xml:space="preserve">invite tenders by conducting a Further Competition Procedure for its Deliverables in accordance with the Regulations and in particular:</w:t>
      </w:r>
    </w:p>
    <w:p w:rsidR="00000000" w:rsidDel="00000000" w:rsidP="00000000" w:rsidRDefault="00000000" w:rsidRPr="00000000" w14:paraId="0000001E">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Electronic Reverse Auction (as defined in Paragraph 7 below) is to be held, the Buyer shall notify the Suppliers identified in accordance with Paragraph 3.1.1 and shall conduct the Further Competition Procedure in accordance with the procedures set out in Paragraph 3; or</w:t>
      </w:r>
    </w:p>
    <w:p w:rsidR="00000000" w:rsidDel="00000000" w:rsidP="00000000" w:rsidRDefault="00000000" w:rsidRPr="00000000" w14:paraId="0000001F">
      <w:pPr>
        <w:keepNext w:val="1"/>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Electronic Reverse Auction is not used, the Buyer shall:</w:t>
      </w:r>
    </w:p>
    <w:p w:rsidR="00000000" w:rsidDel="00000000" w:rsidP="00000000" w:rsidRDefault="00000000" w:rsidRPr="00000000" w14:paraId="00000020">
      <w:pPr>
        <w:widowControl w:val="1"/>
        <w:numPr>
          <w:ilvl w:val="4"/>
          <w:numId w:val="3"/>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invite the Suppliers identified in accordance with Paragraph 3.1.1 to submit a tender in writing for each proposed Call-Off Contract to be awarded by giving written notice by email to the relevant Supplier Representative of each Supplier;</w:t>
      </w:r>
    </w:p>
    <w:p w:rsidR="00000000" w:rsidDel="00000000" w:rsidP="00000000" w:rsidRDefault="00000000" w:rsidRPr="00000000" w14:paraId="00000021">
      <w:pPr>
        <w:widowControl w:val="1"/>
        <w:numPr>
          <w:ilvl w:val="4"/>
          <w:numId w:val="3"/>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 a time limit for the receipt by it of the tenders which takes into account factors such as the complexity of the subject matter of the proposed Call-Off Contract and the time needed to submit tenders; and</w:t>
      </w:r>
    </w:p>
    <w:p w:rsidR="00000000" w:rsidDel="00000000" w:rsidP="00000000" w:rsidRDefault="00000000" w:rsidRPr="00000000" w14:paraId="00000022">
      <w:pPr>
        <w:widowControl w:val="1"/>
        <w:numPr>
          <w:ilvl w:val="4"/>
          <w:numId w:val="3"/>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keep each tender confidential until the time limit set out for the return of tenders has expired.</w:t>
      </w:r>
    </w:p>
    <w:p w:rsidR="00000000" w:rsidDel="00000000" w:rsidP="00000000" w:rsidRDefault="00000000" w:rsidRPr="00000000" w14:paraId="00000023">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the further competition award criteria to the Suppliers' compliant tenders submitted through the Further Competition Procedure as the basis of its decision to award a Call-Off Contract for its Deliverables;</w:t>
      </w:r>
    </w:p>
    <w:p w:rsidR="00000000" w:rsidDel="00000000" w:rsidP="00000000" w:rsidRDefault="00000000" w:rsidRPr="00000000" w14:paraId="00000024">
      <w:pPr>
        <w:keepNext w:val="1"/>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basis set out above, award its Call-Off Contract to the successful Supplier in accordance with Paragraph 6. The Call-Off Contract shall:</w:t>
      </w:r>
    </w:p>
    <w:p w:rsidR="00000000" w:rsidDel="00000000" w:rsidP="00000000" w:rsidRDefault="00000000" w:rsidRPr="00000000" w14:paraId="00000025">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Deliverables;</w:t>
      </w:r>
    </w:p>
    <w:p w:rsidR="00000000" w:rsidDel="00000000" w:rsidP="00000000" w:rsidRDefault="00000000" w:rsidRPr="00000000" w14:paraId="00000026">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tender submitted by the successful Supplier;</w:t>
      </w:r>
    </w:p>
    <w:p w:rsidR="00000000" w:rsidDel="00000000" w:rsidP="00000000" w:rsidRDefault="00000000" w:rsidRPr="00000000" w14:paraId="00000027">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Charges payable for the Deliverables in accordance with the tender submitted by the successful Supplier; and</w:t>
      </w:r>
    </w:p>
    <w:p w:rsidR="00000000" w:rsidDel="00000000" w:rsidP="00000000" w:rsidRDefault="00000000" w:rsidRPr="00000000" w14:paraId="00000028">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incorporate the terms [of the Order Form and Contract] (as may be amended or refined by the Buyer in accordance with Paragraph 3.1.2. above) applicable to the Deliverables,</w:t>
      </w:r>
    </w:p>
    <w:p w:rsidR="00000000" w:rsidDel="00000000" w:rsidP="00000000" w:rsidRDefault="00000000" w:rsidRPr="00000000" w14:paraId="00000029">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unsuccessful Suppliers with written feedback in relation to the reasons why their tenders were unsuccessful.</w:t>
      </w:r>
    </w:p>
    <w:p w:rsidR="00000000" w:rsidDel="00000000" w:rsidP="00000000" w:rsidRDefault="00000000" w:rsidRPr="00000000" w14:paraId="0000002A">
      <w:pPr>
        <w:keepNext w:val="1"/>
        <w:widowControl w:val="1"/>
        <w:pBdr>
          <w:top w:space="0" w:sz="0" w:val="nil"/>
          <w:left w:space="0" w:sz="0" w:val="nil"/>
          <w:bottom w:space="0" w:sz="0" w:val="nil"/>
          <w:right w:space="0" w:sz="0" w:val="nil"/>
          <w:between w:space="0" w:sz="0" w:val="nil"/>
        </w:pBdr>
        <w:tabs>
          <w:tab w:val="left" w:pos="3054"/>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Supplier has to do</w:t>
      </w:r>
    </w:p>
    <w:p w:rsidR="00000000" w:rsidDel="00000000" w:rsidP="00000000" w:rsidRDefault="00000000" w:rsidRPr="00000000" w14:paraId="0000002B">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shall in writing, by the time and date specified by the Buyer following an invitation to tender pursuant to Paragraph 3.1.3 above, provide CCS and the Buyer with either:</w:t>
      </w:r>
      <w:r w:rsidDel="00000000" w:rsidR="00000000" w:rsidRPr="00000000">
        <w:rPr>
          <w:rtl w:val="0"/>
        </w:rPr>
      </w:r>
    </w:p>
    <w:p w:rsidR="00000000" w:rsidDel="00000000" w:rsidP="00000000" w:rsidRDefault="00000000" w:rsidRPr="00000000" w14:paraId="0000002C">
      <w:pPr>
        <w:widowControl w:val="1"/>
        <w:pBdr>
          <w:top w:space="0" w:sz="0" w:val="nil"/>
          <w:left w:space="0" w:sz="0" w:val="nil"/>
          <w:bottom w:space="0" w:sz="0" w:val="nil"/>
          <w:right w:space="0" w:sz="0" w:val="nil"/>
          <w:between w:space="0" w:sz="0" w:val="nil"/>
        </w:pBdr>
        <w:tabs>
          <w:tab w:val="left" w:pos="3641"/>
        </w:tabs>
        <w:spacing w:after="120" w:before="12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D">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to the effect that it does not wish to tender in relation to the Deliverables; or</w:t>
      </w:r>
    </w:p>
    <w:p w:rsidR="00000000" w:rsidDel="00000000" w:rsidP="00000000" w:rsidRDefault="00000000" w:rsidRPr="00000000" w14:paraId="0000002E">
      <w:pPr>
        <w:keepNext w:val="1"/>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full details of its tender made in respect of the relevant Statement of Requirements. In the event that the Supplier submits such a tender, it should include, as a minimum:</w:t>
      </w:r>
    </w:p>
    <w:p w:rsidR="00000000" w:rsidDel="00000000" w:rsidP="00000000" w:rsidRDefault="00000000" w:rsidRPr="00000000" w14:paraId="0000002F">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email response subject line to comprise unique reference number and Supplier name, so as to clearly identify the Supplier;</w:t>
      </w:r>
    </w:p>
    <w:p w:rsidR="00000000" w:rsidDel="00000000" w:rsidP="00000000" w:rsidRDefault="00000000" w:rsidRPr="00000000" w14:paraId="00000030">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brief summary, in the email (followed by a confirmation letter), stating that the Supplier is bidding for the Statement of Requirements;</w:t>
      </w:r>
    </w:p>
    <w:p w:rsidR="00000000" w:rsidDel="00000000" w:rsidP="00000000" w:rsidRDefault="00000000" w:rsidRPr="00000000" w14:paraId="00000031">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proposal covering the Deliverables;</w:t>
      </w:r>
    </w:p>
    <w:p w:rsidR="00000000" w:rsidDel="00000000" w:rsidP="00000000" w:rsidRDefault="00000000" w:rsidRPr="00000000" w14:paraId="00000032">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CVs of key staff – as a minimum any lead consultant, with others, as considered appropriate along with required staff levels (if necessary); and</w:t>
      </w:r>
    </w:p>
    <w:p w:rsidR="00000000" w:rsidDel="00000000" w:rsidP="00000000" w:rsidRDefault="00000000" w:rsidRPr="00000000" w14:paraId="00000033">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of discounts applicable to the Deliverables, as referenced in Framework Schedule 3 (Framework Prices) (if applicable).</w:t>
      </w:r>
    </w:p>
    <w:p w:rsidR="00000000" w:rsidDel="00000000" w:rsidP="00000000" w:rsidRDefault="00000000" w:rsidRPr="00000000" w14:paraId="00000034">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any prices submitted in relation to a Further Competition Procedure held pursuant to this Paragraph 3 shall be based on the charging structure and take into account any discount to which the Buyer may be entitled as set out in Framework Schedule 3 (Framework Prices).</w:t>
      </w:r>
    </w:p>
    <w:p w:rsidR="00000000" w:rsidDel="00000000" w:rsidP="00000000" w:rsidRDefault="00000000" w:rsidRPr="00000000" w14:paraId="00000035">
      <w:pPr>
        <w:keepNext w:val="1"/>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that:</w:t>
      </w:r>
    </w:p>
    <w:p w:rsidR="00000000" w:rsidDel="00000000" w:rsidP="00000000" w:rsidRDefault="00000000" w:rsidRPr="00000000" w14:paraId="00000036">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w:t>
      </w:r>
    </w:p>
    <w:p w:rsidR="00000000" w:rsidDel="00000000" w:rsidP="00000000" w:rsidRDefault="00000000" w:rsidRPr="00000000" w14:paraId="00000037">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000000" w:rsidDel="00000000" w:rsidP="00000000" w:rsidRDefault="00000000" w:rsidRPr="00000000" w14:paraId="00000038">
      <w:pPr>
        <w:widowControl w:val="1"/>
        <w:numPr>
          <w:ilvl w:val="4"/>
          <w:numId w:val="3"/>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000000" w:rsidDel="00000000" w:rsidP="00000000" w:rsidRDefault="00000000" w:rsidRPr="00000000" w14:paraId="00000039">
      <w:pPr>
        <w:widowControl w:val="1"/>
        <w:numPr>
          <w:ilvl w:val="4"/>
          <w:numId w:val="3"/>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enter into any arrangement or agreement with any other person that he or the other person(s) shall refrain from submitting a tender or as to the amount of any tenders to be submitted.</w:t>
      </w:r>
    </w:p>
    <w:p w:rsidR="00000000" w:rsidDel="00000000" w:rsidP="00000000" w:rsidRDefault="00000000" w:rsidRPr="00000000" w14:paraId="0000003A">
      <w:pPr>
        <w:keepNext w:val="1"/>
        <w:widowControl w:val="1"/>
        <w:numPr>
          <w:ilvl w:val="0"/>
          <w:numId w:val="3"/>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No requirement to award</w:t>
      </w:r>
      <w:r w:rsidDel="00000000" w:rsidR="00000000" w:rsidRPr="00000000">
        <w:rPr>
          <w:rtl w:val="0"/>
        </w:rPr>
      </w:r>
    </w:p>
    <w:p w:rsidR="00000000" w:rsidDel="00000000" w:rsidP="00000000" w:rsidRDefault="00000000" w:rsidRPr="00000000" w14:paraId="0000003B">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r>
    </w:p>
    <w:p w:rsidR="00000000" w:rsidDel="00000000" w:rsidP="00000000" w:rsidRDefault="00000000" w:rsidRPr="00000000" w14:paraId="0000003C">
      <w:pPr>
        <w:keepNext w:val="1"/>
        <w:widowControl w:val="1"/>
        <w:numPr>
          <w:ilvl w:val="0"/>
          <w:numId w:val="3"/>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Who is responsible for the award</w:t>
      </w:r>
    </w:p>
    <w:p w:rsidR="00000000" w:rsidDel="00000000" w:rsidP="00000000" w:rsidRDefault="00000000" w:rsidRPr="00000000" w14:paraId="0000003D">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rsidR="00000000" w:rsidDel="00000000" w:rsidP="00000000" w:rsidRDefault="00000000" w:rsidRPr="00000000" w14:paraId="0000003E">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conduct of Buyer in relation to this Contract; or</w:t>
      </w:r>
    </w:p>
    <w:p w:rsidR="00000000" w:rsidDel="00000000" w:rsidP="00000000" w:rsidRDefault="00000000" w:rsidRPr="00000000" w14:paraId="0000003F">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or non-performance of any Call-Off Contracts between the Supplier and Buyer entered into pursuant to this Contract.</w:t>
      </w:r>
    </w:p>
    <w:p w:rsidR="00000000" w:rsidDel="00000000" w:rsidP="00000000" w:rsidRDefault="00000000" w:rsidRPr="00000000" w14:paraId="00000040">
      <w:pPr>
        <w:keepNext w:val="1"/>
        <w:widowControl w:val="1"/>
        <w:numPr>
          <w:ilvl w:val="0"/>
          <w:numId w:val="3"/>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Awarding and creating a Call-Off Contract</w:t>
      </w:r>
      <w:r w:rsidDel="00000000" w:rsidR="00000000" w:rsidRPr="00000000">
        <w:rPr>
          <w:rtl w:val="0"/>
        </w:rPr>
      </w:r>
    </w:p>
    <w:p w:rsidR="00000000" w:rsidDel="00000000" w:rsidP="00000000" w:rsidRDefault="00000000" w:rsidRPr="00000000" w14:paraId="00000041">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3dy6vkm" w:id="7"/>
      <w:bookmarkEnd w:id="7"/>
      <w:r w:rsidDel="00000000" w:rsidR="00000000" w:rsidRPr="00000000">
        <w:rPr>
          <w:rFonts w:ascii="Arial" w:cs="Arial" w:eastAsia="Arial" w:hAnsi="Arial"/>
          <w:color w:val="000000"/>
          <w:sz w:val="24"/>
          <w:szCs w:val="24"/>
          <w:rtl w:val="0"/>
        </w:rPr>
        <w:t xml:space="preserve">Subject to Paragraphs 1 to 5 above and 7, a Buyer may award a Call-Off Contract with the Supplier by sending (including electronically) a signed order form substantially in the form (as may be amended or refined by the Buyer in accordance with Paragraph 3.1.2 above) of the Order Form Template set out in </w:t>
      </w:r>
      <w:r w:rsidDel="00000000" w:rsidR="00000000" w:rsidRPr="00000000">
        <w:rPr>
          <w:rFonts w:ascii="Arial" w:cs="Arial" w:eastAsia="Arial" w:hAnsi="Arial"/>
          <w:color w:val="000000"/>
          <w:sz w:val="24"/>
          <w:szCs w:val="24"/>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42">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agree that any document or communication (including any document or communication in the apparent form of a Call-Off Contract) which is not as described in this Paragraph 6 shall not constitute a Call-Off Contract under this Contract.</w:t>
      </w:r>
    </w:p>
    <w:p w:rsidR="00000000" w:rsidDel="00000000" w:rsidP="00000000" w:rsidRDefault="00000000" w:rsidRPr="00000000" w14:paraId="00000043">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1t3h5sf" w:id="8"/>
      <w:bookmarkEnd w:id="8"/>
      <w:r w:rsidDel="00000000" w:rsidR="00000000" w:rsidRPr="00000000">
        <w:rPr>
          <w:rFonts w:ascii="Arial" w:cs="Arial" w:eastAsia="Arial" w:hAnsi="Arial"/>
          <w:color w:val="000000"/>
          <w:sz w:val="24"/>
          <w:szCs w:val="24"/>
          <w:rtl w:val="0"/>
        </w:rPr>
        <w:t xml:space="preserve">On receipt of an order form as described in Paragraph 6.1 from a Buyer the Supplier shall accept the Call-Off Contract by promptly signing and returning (including by electronic means) a copy of the order form to the Buyer concerned.</w:t>
      </w:r>
    </w:p>
    <w:p w:rsidR="00000000" w:rsidDel="00000000" w:rsidP="00000000" w:rsidRDefault="00000000" w:rsidRPr="00000000" w14:paraId="00000044">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rsidR="00000000" w:rsidDel="00000000" w:rsidP="00000000" w:rsidRDefault="00000000" w:rsidRPr="00000000" w14:paraId="00000045">
      <w:pPr>
        <w:keepNext w:val="1"/>
        <w:widowControl w:val="1"/>
        <w:numPr>
          <w:ilvl w:val="0"/>
          <w:numId w:val="3"/>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46">
      <w:pPr>
        <w:keepNext w:val="1"/>
        <w:widowControl w:val="1"/>
        <w:pBdr>
          <w:top w:space="0" w:sz="0" w:val="nil"/>
          <w:left w:space="0" w:sz="0" w:val="nil"/>
          <w:bottom w:space="0" w:sz="0" w:val="nil"/>
          <w:right w:space="0" w:sz="0" w:val="nil"/>
          <w:between w:space="0" w:sz="0" w:val="nil"/>
        </w:pBdr>
        <w:tabs>
          <w:tab w:val="left" w:pos="142"/>
        </w:tabs>
        <w:spacing w:after="240" w:before="120" w:lineRule="auto"/>
        <w:ind w:left="360" w:firstLine="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e-auctions work</w:t>
      </w:r>
      <w:r w:rsidDel="00000000" w:rsidR="00000000" w:rsidRPr="00000000">
        <w:rPr>
          <w:rtl w:val="0"/>
        </w:rPr>
      </w:r>
    </w:p>
    <w:p w:rsidR="00000000" w:rsidDel="00000000" w:rsidP="00000000" w:rsidRDefault="00000000" w:rsidRPr="00000000" w14:paraId="00000047">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be entitled to include a reverse auction in the Further Competition Procedure in accordance with the rules laid down by the Buyer and the Regulations.</w:t>
      </w:r>
    </w:p>
    <w:p w:rsidR="00000000" w:rsidDel="00000000" w:rsidP="00000000" w:rsidRDefault="00000000" w:rsidRPr="00000000" w14:paraId="00000048">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4d34og8" w:id="9"/>
      <w:bookmarkEnd w:id="9"/>
      <w:r w:rsidDel="00000000" w:rsidR="00000000" w:rsidRPr="00000000">
        <w:rPr>
          <w:rFonts w:ascii="Arial" w:cs="Arial" w:eastAsia="Arial" w:hAnsi="Arial"/>
          <w:color w:val="000000"/>
          <w:sz w:val="24"/>
          <w:szCs w:val="24"/>
          <w:rtl w:val="0"/>
        </w:rPr>
        <w:t xml:space="preserve">Where the Buyer wishes to undertake an electronic reverse auction, where Suppliers compete in real time by bidding as the auction unfolds (</w:t>
      </w:r>
      <w:r w:rsidDel="00000000" w:rsidR="00000000" w:rsidRPr="00000000">
        <w:rPr>
          <w:rFonts w:ascii="Arial" w:cs="Arial" w:eastAsia="Arial" w:hAnsi="Arial"/>
          <w:b w:val="1"/>
          <w:color w:val="000000"/>
          <w:sz w:val="24"/>
          <w:szCs w:val="24"/>
          <w:rtl w:val="0"/>
        </w:rPr>
        <w:t xml:space="preserve">"Electronic Reverse Auction"</w:t>
      </w:r>
      <w:r w:rsidDel="00000000" w:rsidR="00000000" w:rsidRPr="00000000">
        <w:rPr>
          <w:rFonts w:ascii="Arial" w:cs="Arial" w:eastAsia="Arial" w:hAnsi="Arial"/>
          <w:color w:val="000000"/>
          <w:sz w:val="24"/>
          <w:szCs w:val="24"/>
          <w:rtl w:val="0"/>
        </w:rPr>
        <w:t xml:space="preserve">) then before undertaking it, the Buyer will make an initial full evaluation of all tenders received in response to its Statement of Requirements. The Buyer will then invite to the Electronic Reverse Auction only those tenders that are admissible in accordance with the Regulations. The invitation shall be accompanied by the outcome of the full initial evaluation of the relevant tenders.</w:t>
      </w:r>
    </w:p>
    <w:p w:rsidR="00000000" w:rsidDel="00000000" w:rsidP="00000000" w:rsidRDefault="00000000" w:rsidRPr="00000000" w14:paraId="00000049">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will inform the Suppliers of the specification for the Electronic Reverse Auction which shall include:</w:t>
      </w:r>
    </w:p>
    <w:p w:rsidR="00000000" w:rsidDel="00000000" w:rsidP="00000000" w:rsidRDefault="00000000" w:rsidRPr="00000000" w14:paraId="0000004A">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to be provided at auction, which must be expressed in figures or percentages of the specified quantifiable features;</w:t>
      </w:r>
    </w:p>
    <w:p w:rsidR="00000000" w:rsidDel="00000000" w:rsidP="00000000" w:rsidRDefault="00000000" w:rsidRPr="00000000" w14:paraId="0000004B">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mathematical formula to be used to determine automatic ranking of bids on the basis of new prices and/or new values submitted;  </w:t>
      </w:r>
    </w:p>
    <w:p w:rsidR="00000000" w:rsidDel="00000000" w:rsidP="00000000" w:rsidRDefault="00000000" w:rsidRPr="00000000" w14:paraId="0000004C">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limits on the values which may be submitted;</w:t>
      </w:r>
    </w:p>
    <w:p w:rsidR="00000000" w:rsidDel="00000000" w:rsidP="00000000" w:rsidRDefault="00000000" w:rsidRPr="00000000" w14:paraId="0000004D">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description of any information which will be made available to Suppliers in the course of the Electronic Reverse Auction, and when it will be made available to them;</w:t>
      </w:r>
    </w:p>
    <w:p w:rsidR="00000000" w:rsidDel="00000000" w:rsidP="00000000" w:rsidRDefault="00000000" w:rsidRPr="00000000" w14:paraId="0000004E">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bookmarkStart w:colFirst="0" w:colLast="0" w:name="_heading=h.2s8eyo1" w:id="10"/>
      <w:bookmarkEnd w:id="10"/>
      <w:r w:rsidDel="00000000" w:rsidR="00000000" w:rsidRPr="00000000">
        <w:rPr>
          <w:rFonts w:ascii="Arial" w:cs="Arial" w:eastAsia="Arial" w:hAnsi="Arial"/>
          <w:color w:val="000000"/>
          <w:sz w:val="24"/>
          <w:szCs w:val="24"/>
          <w:rtl w:val="0"/>
        </w:rPr>
        <w:t xml:space="preserve">the conditions under which Suppliers will be able to bid and, in particular, the minimum differences which will, where appropriate, be required when bidding;</w:t>
      </w:r>
    </w:p>
    <w:p w:rsidR="00000000" w:rsidDel="00000000" w:rsidP="00000000" w:rsidRDefault="00000000" w:rsidRPr="00000000" w14:paraId="0000004F">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information concerning the electronic equipment used and the arrangements and technical specification for connection;</w:t>
      </w:r>
    </w:p>
    <w:p w:rsidR="00000000" w:rsidDel="00000000" w:rsidP="00000000" w:rsidRDefault="00000000" w:rsidRPr="00000000" w14:paraId="00000050">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7.5, the date and time of the start of the Electronic Reverse Auction; and</w:t>
      </w:r>
    </w:p>
    <w:p w:rsidR="00000000" w:rsidDel="00000000" w:rsidP="00000000" w:rsidRDefault="00000000" w:rsidRPr="00000000" w14:paraId="00000051">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when and how the Electronic Reverse Auction will close.</w:t>
      </w:r>
    </w:p>
    <w:p w:rsidR="00000000" w:rsidDel="00000000" w:rsidP="00000000" w:rsidRDefault="00000000" w:rsidRPr="00000000" w14:paraId="00000052">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17dp8vu" w:id="11"/>
      <w:bookmarkEnd w:id="11"/>
      <w:r w:rsidDel="00000000" w:rsidR="00000000" w:rsidRPr="00000000">
        <w:rPr>
          <w:rFonts w:ascii="Arial" w:cs="Arial" w:eastAsia="Arial" w:hAnsi="Arial"/>
          <w:color w:val="000000"/>
          <w:sz w:val="24"/>
          <w:szCs w:val="24"/>
          <w:rtl w:val="0"/>
        </w:rPr>
        <w:t xml:space="preserve">The Electronic Reverse Auction may not start sooner than two (2) Working Days after the date on which the specification for the Electronic Reverse Auction has been issued.</w:t>
      </w:r>
    </w:p>
    <w:p w:rsidR="00000000" w:rsidDel="00000000" w:rsidP="00000000" w:rsidRDefault="00000000" w:rsidRPr="00000000" w14:paraId="00000053">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Throughout each phase of the Electronic Reverse Auction the Buyer will communicate to all Suppliers sufficient information to enable them to ascertain their relative ranking.</w:t>
      </w:r>
    </w:p>
    <w:p w:rsidR="00000000" w:rsidDel="00000000" w:rsidP="00000000" w:rsidRDefault="00000000" w:rsidRPr="00000000" w14:paraId="00000054">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acknowledges and agrees that:</w:t>
      </w:r>
    </w:p>
    <w:p w:rsidR="00000000" w:rsidDel="00000000" w:rsidP="00000000" w:rsidRDefault="00000000" w:rsidRPr="00000000" w14:paraId="00000055">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 its officers, servants, agents, group companies, assignees and customers (including CCS) do not guarantee that its access to the Electronic Reverse Auction will be uninterrupted or error-free;</w:t>
      </w:r>
    </w:p>
    <w:p w:rsidR="00000000" w:rsidDel="00000000" w:rsidP="00000000" w:rsidRDefault="00000000" w:rsidRPr="00000000" w14:paraId="00000056">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access to the Electronic Reverse Auction may occasionally be restricted to allow for repairs or maintenance; and</w:t>
      </w:r>
    </w:p>
    <w:p w:rsidR="00000000" w:rsidDel="00000000" w:rsidP="00000000" w:rsidRDefault="00000000" w:rsidRPr="00000000" w14:paraId="00000057">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will comply with all such rules that may be imposed by the Buyer in relation to the operation of the Electronic Reverse Auction.</w:t>
      </w:r>
    </w:p>
    <w:p w:rsidR="00000000" w:rsidDel="00000000" w:rsidP="00000000" w:rsidRDefault="00000000" w:rsidRPr="00000000" w14:paraId="00000058">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will close the Electronic Reverse Auction on the basis of:</w:t>
      </w:r>
    </w:p>
    <w:p w:rsidR="00000000" w:rsidDel="00000000" w:rsidP="00000000" w:rsidRDefault="00000000" w:rsidRPr="00000000" w14:paraId="00000059">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date and time fixed in advance;</w:t>
      </w:r>
    </w:p>
    <w:p w:rsidR="00000000" w:rsidDel="00000000" w:rsidP="00000000" w:rsidRDefault="00000000" w:rsidRPr="00000000" w14:paraId="0000005A">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no new prices or values meeting the minimum differences required pursuant to Paragraph 7.3 have been received within the prescribed elapsed time period; or</w:t>
      </w:r>
    </w:p>
    <w:p w:rsidR="00000000" w:rsidDel="00000000" w:rsidP="00000000" w:rsidRDefault="00000000" w:rsidRPr="00000000" w14:paraId="0000005B">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all the phases have been completed.]</w:t>
      </w:r>
    </w:p>
    <w:p w:rsidR="00000000" w:rsidDel="00000000" w:rsidP="00000000" w:rsidRDefault="00000000" w:rsidRPr="00000000" w14:paraId="0000005C">
      <w:pPr>
        <w:keepNext w:val="1"/>
        <w:widowControl w:val="1"/>
        <w:numPr>
          <w:ilvl w:val="0"/>
          <w:numId w:val="3"/>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Awarding and creating an Exempt Call-off Contract</w:t>
      </w:r>
      <w:r w:rsidDel="00000000" w:rsidR="00000000" w:rsidRPr="00000000">
        <w:rPr>
          <w:rtl w:val="0"/>
        </w:rPr>
      </w:r>
    </w:p>
    <w:p w:rsidR="00000000" w:rsidDel="00000000" w:rsidP="00000000" w:rsidRDefault="00000000" w:rsidRPr="00000000" w14:paraId="0000005D">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 1 above shall not apply to an Exempt Buyer.</w:t>
      </w:r>
    </w:p>
    <w:p w:rsidR="00000000" w:rsidDel="00000000" w:rsidP="00000000" w:rsidRDefault="00000000" w:rsidRPr="00000000" w14:paraId="0000005E">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If a potential Exempt Buyer decides to source Deliverables through this Framework Contract, it will award an Exempt Call-off Contract for Deliverables in accordance with the procedure in this Schedule as modified by this Paragraph 8 and in accordance with any legal requirements applicable to that potential Exempt Buyer.</w:t>
      </w:r>
    </w:p>
    <w:p w:rsidR="00000000" w:rsidDel="00000000" w:rsidP="00000000" w:rsidRDefault="00000000" w:rsidRPr="00000000" w14:paraId="0000005F">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potential Exempt Buyer may award an Exempt Call-off Contract under this Framework Contract without holding a further competition in accordance with Paragraph 2 above as modified by Paragraph 8.4 below or through a Further Competition Procedure in accordance with Paragraph 3 as modified by Paragraph 8.5 below.</w:t>
      </w:r>
    </w:p>
    <w:p w:rsidR="00000000" w:rsidDel="00000000" w:rsidP="00000000" w:rsidRDefault="00000000" w:rsidRPr="00000000" w14:paraId="00000060">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the procedure set out in Paragraph 2 above, if the potential Exempt Buyer can determine that:</w:t>
      </w:r>
    </w:p>
    <w:p w:rsidR="00000000" w:rsidDel="00000000" w:rsidP="00000000" w:rsidRDefault="00000000" w:rsidRPr="00000000" w14:paraId="00000061">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62">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accept any required Exempt Procurement Amendments,</w:t>
      </w:r>
    </w:p>
    <w:p w:rsidR="00000000" w:rsidDel="00000000" w:rsidP="00000000" w:rsidRDefault="00000000" w:rsidRPr="00000000" w14:paraId="00000063">
      <w:pPr>
        <w:widowControl w:val="1"/>
        <w:pBdr>
          <w:top w:space="0" w:sz="0" w:val="nil"/>
          <w:left w:space="0" w:sz="0" w:val="nil"/>
          <w:bottom w:space="0" w:sz="0" w:val="nil"/>
          <w:right w:space="0" w:sz="0" w:val="nil"/>
          <w:between w:space="0" w:sz="0" w:val="nil"/>
        </w:pBdr>
        <w:tabs>
          <w:tab w:val="left" w:pos="3641"/>
        </w:tabs>
        <w:spacing w:after="120" w:before="120" w:lineRule="auto"/>
        <w:ind w:left="189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Exempt Buyer may award an Exempt Call-off Contract to that Supplier in accordance with Paragraph 6 above.</w:t>
      </w:r>
    </w:p>
    <w:p w:rsidR="00000000" w:rsidDel="00000000" w:rsidP="00000000" w:rsidRDefault="00000000" w:rsidRPr="00000000" w14:paraId="00000064">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potential Exempt Buyer requires the Supplier to develop proposals or a solution in respect of Deliverables, then the potential Exempt Buyer may at its discretion use the procedure set out in Paragraph 3 above as modified by this Paragraph 8.5. In that case, references to “the Regulations” in Paragraph 3 above shall be read as references to “any legal requirements applicable to that potential Exempt Buyer”, and the Exempt Buyer shall be permitted to modify the Further Competition Procedure in accordance with any legal requirements applicable to the Exempt Buyer.</w:t>
      </w:r>
    </w:p>
    <w:p w:rsidR="00000000" w:rsidDel="00000000" w:rsidP="00000000" w:rsidRDefault="00000000" w:rsidRPr="00000000" w14:paraId="00000065">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3rdcrjn" w:id="12"/>
      <w:bookmarkEnd w:id="12"/>
      <w:r w:rsidDel="00000000" w:rsidR="00000000" w:rsidRPr="00000000">
        <w:rPr>
          <w:rFonts w:ascii="Arial" w:cs="Arial" w:eastAsia="Arial" w:hAnsi="Arial"/>
          <w:color w:val="000000"/>
          <w:sz w:val="24"/>
          <w:szCs w:val="24"/>
          <w:rtl w:val="0"/>
        </w:rPr>
        <w:t xml:space="preserve">Paragraphs 8.1 to 8.5 above are without prejudice to an Exempt Buyer’s ability to make such further modifications to the Call-Off Procedure as it considers necessary and in accordance with any legal requirements applicable to that potential Exempt Buyer.</w:t>
      </w:r>
    </w:p>
    <w:p w:rsidR="00000000" w:rsidDel="00000000" w:rsidP="00000000" w:rsidRDefault="00000000" w:rsidRPr="00000000" w14:paraId="00000066">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tabs>
          <w:tab w:val="left" w:pos="3054"/>
        </w:tabs>
        <w:spacing w:after="120" w:before="120" w:lineRule="auto"/>
        <w:ind w:left="936" w:hanging="57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tabs>
          <w:tab w:val="left" w:pos="3054"/>
        </w:tabs>
        <w:spacing w:after="120" w:before="120" w:lineRule="auto"/>
        <w:ind w:left="936" w:hanging="576"/>
        <w:rPr>
          <w:rFonts w:ascii="Arial" w:cs="Arial" w:eastAsia="Arial" w:hAnsi="Arial"/>
          <w:color w:val="000000"/>
          <w:sz w:val="36"/>
          <w:szCs w:val="36"/>
        </w:rPr>
      </w:pPr>
      <w:r w:rsidDel="00000000" w:rsidR="00000000" w:rsidRPr="00000000">
        <w:rPr>
          <w:rFonts w:ascii="Arial" w:cs="Arial" w:eastAsia="Arial" w:hAnsi="Arial"/>
          <w:b w:val="1"/>
          <w:color w:val="000000"/>
          <w:sz w:val="36"/>
          <w:szCs w:val="36"/>
          <w:rtl w:val="0"/>
        </w:rPr>
        <w:t xml:space="preserve">Part 2: Award Criteria</w:t>
      </w:r>
      <w:r w:rsidDel="00000000" w:rsidR="00000000" w:rsidRPr="00000000">
        <w:rPr>
          <w:rtl w:val="0"/>
        </w:rPr>
      </w:r>
    </w:p>
    <w:p w:rsidR="00000000" w:rsidDel="00000000" w:rsidP="00000000" w:rsidRDefault="00000000" w:rsidRPr="00000000" w14:paraId="00000069">
      <w:pPr>
        <w:widowControl w:val="1"/>
        <w:numPr>
          <w:ilvl w:val="0"/>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Part 2 lays out award criteria for direct award (Annex A) and for further competition (Annex B) in accordance with the Call-Off Procedure.</w:t>
      </w:r>
    </w:p>
    <w:p w:rsidR="00000000" w:rsidDel="00000000" w:rsidP="00000000" w:rsidRDefault="00000000" w:rsidRPr="00000000" w14:paraId="0000006A">
      <w:pPr>
        <w:widowControl w:val="1"/>
        <w:numPr>
          <w:ilvl w:val="0"/>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Call-Off Contract may be awarded on the basis of most economically advantageous tender ("MEAT").</w:t>
      </w:r>
    </w:p>
    <w:p w:rsidR="00000000" w:rsidDel="00000000" w:rsidP="00000000" w:rsidRDefault="00000000" w:rsidRPr="00000000" w14:paraId="0000006B">
      <w:pPr>
        <w:rPr>
          <w:rFonts w:ascii="Arial" w:cs="Arial" w:eastAsia="Arial" w:hAnsi="Arial"/>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C">
      <w:pPr>
        <w:keepNext w:val="1"/>
        <w:widowControl w:val="1"/>
        <w:pBdr>
          <w:top w:space="0" w:sz="0" w:val="nil"/>
          <w:left w:space="0" w:sz="0" w:val="nil"/>
          <w:bottom w:space="0" w:sz="0" w:val="nil"/>
          <w:right w:space="0" w:sz="0" w:val="nil"/>
          <w:between w:space="0" w:sz="0" w:val="nil"/>
        </w:pBdr>
        <w:spacing w:after="240" w:before="240" w:lineRule="auto"/>
        <w:ind w:firstLine="426"/>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Annex A: Direct award criteria</w:t>
      </w:r>
    </w:p>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for direct award of each Call-Off.</w:t>
      </w:r>
    </w:p>
    <w:tbl>
      <w:tblPr>
        <w:tblStyle w:val="Table1"/>
        <w:tblW w:w="9214.0" w:type="dxa"/>
        <w:jc w:val="left"/>
        <w:tblInd w:w="-1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44"/>
        <w:gridCol w:w="5670"/>
        <w:tblGridChange w:id="0">
          <w:tblGrid>
            <w:gridCol w:w="3544"/>
            <w:gridCol w:w="5670"/>
          </w:tblGrid>
        </w:tblGridChange>
      </w:tblGrid>
      <w:tr>
        <w:trPr>
          <w:cantSplit w:val="0"/>
          <w:tblHeader w:val="0"/>
        </w:trPr>
        <w:tc>
          <w:tcPr>
            <w:shd w:fill="e7e6e6" w:val="clear"/>
          </w:tcPr>
          <w:p w:rsidR="00000000" w:rsidDel="00000000" w:rsidP="00000000" w:rsidRDefault="00000000" w:rsidRPr="00000000" w14:paraId="0000006E">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Criteria </w:t>
            </w:r>
          </w:p>
        </w:tc>
        <w:tc>
          <w:tcPr>
            <w:shd w:fill="e7e6e6" w:val="clear"/>
          </w:tcPr>
          <w:p w:rsidR="00000000" w:rsidDel="00000000" w:rsidP="00000000" w:rsidRDefault="00000000" w:rsidRPr="00000000" w14:paraId="0000006F">
            <w:pPr>
              <w:widowControl w:val="1"/>
              <w:spacing w:after="200" w:before="12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Relative weighting percentage </w:t>
            </w:r>
            <w:r w:rsidDel="00000000" w:rsidR="00000000" w:rsidRPr="00000000">
              <w:rPr>
                <w:rtl w:val="0"/>
              </w:rPr>
            </w:r>
          </w:p>
        </w:tc>
      </w:tr>
      <w:tr>
        <w:trPr>
          <w:cantSplit w:val="0"/>
          <w:tblHeader w:val="0"/>
        </w:trPr>
        <w:tc>
          <w:tcPr/>
          <w:p w:rsidR="00000000" w:rsidDel="00000000" w:rsidP="00000000" w:rsidRDefault="00000000" w:rsidRPr="00000000" w14:paraId="00000070">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Price (life cycle costs, cost effectiveness &amp; price; price and running costs)</w:t>
            </w:r>
          </w:p>
        </w:tc>
        <w:tc>
          <w:tcPr/>
          <w:p w:rsidR="00000000" w:rsidDel="00000000" w:rsidP="00000000" w:rsidRDefault="00000000" w:rsidRPr="00000000" w14:paraId="00000071">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0-100%   </w:t>
            </w:r>
            <w:r w:rsidDel="00000000" w:rsidR="00000000" w:rsidRPr="00000000">
              <w:rPr>
                <w:rtl w:val="0"/>
              </w:rPr>
            </w:r>
          </w:p>
        </w:tc>
      </w:tr>
      <w:tr>
        <w:trPr>
          <w:cantSplit w:val="0"/>
          <w:tblHeader w:val="0"/>
        </w:trPr>
        <w:tc>
          <w:tcPr/>
          <w:p w:rsidR="00000000" w:rsidDel="00000000" w:rsidP="00000000" w:rsidRDefault="00000000" w:rsidRPr="00000000" w14:paraId="00000072">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Technical merit; coverage, network capacity and performance as specified in relevant service levels</w:t>
            </w:r>
          </w:p>
        </w:tc>
        <w:tc>
          <w:tcPr/>
          <w:p w:rsidR="00000000" w:rsidDel="00000000" w:rsidP="00000000" w:rsidRDefault="00000000" w:rsidRPr="00000000" w14:paraId="00000073">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0-100%</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74">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Help desk, account management function and assurance of supply of a range of devices and good value accessories</w:t>
            </w:r>
          </w:p>
        </w:tc>
        <w:tc>
          <w:tcPr/>
          <w:p w:rsidR="00000000" w:rsidDel="00000000" w:rsidP="00000000" w:rsidRDefault="00000000" w:rsidRPr="00000000" w14:paraId="00000075">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0-100%</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76">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Environmental character</w:t>
            </w:r>
            <w:r w:rsidDel="00000000" w:rsidR="00000000" w:rsidRPr="00000000">
              <w:rPr>
                <w:rFonts w:ascii="Arial" w:cs="Arial" w:eastAsia="Arial" w:hAnsi="Arial"/>
                <w:sz w:val="24"/>
                <w:szCs w:val="24"/>
                <w:rtl w:val="0"/>
              </w:rPr>
              <w:t xml:space="preserve">istics (including but not limited to the prevention or minimisation of waste, use of recycled or sustainable materials, fuel efficiency, vehicle emissions, Environmental Management Systems and Carbon Reduction schemes)</w:t>
            </w:r>
            <w:r w:rsidDel="00000000" w:rsidR="00000000" w:rsidRPr="00000000">
              <w:rPr>
                <w:rtl w:val="0"/>
              </w:rPr>
            </w:r>
          </w:p>
        </w:tc>
        <w:tc>
          <w:tcPr/>
          <w:p w:rsidR="00000000" w:rsidDel="00000000" w:rsidP="00000000" w:rsidRDefault="00000000" w:rsidRPr="00000000" w14:paraId="0000007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0-100%</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7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Quality (including delivery time, sales service, good value, accessories, service fitness for purpose)</w:t>
            </w:r>
          </w:p>
        </w:tc>
        <w:tc>
          <w:tcPr/>
          <w:p w:rsidR="00000000" w:rsidDel="00000000" w:rsidP="00000000" w:rsidRDefault="00000000" w:rsidRPr="00000000" w14:paraId="0000007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0-100%</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r w:rsidDel="00000000" w:rsidR="00000000" w:rsidRPr="00000000">
              <w:rPr>
                <w:rtl w:val="0"/>
              </w:rPr>
            </w:r>
          </w:p>
        </w:tc>
      </w:tr>
    </w:tbl>
    <w:p w:rsidR="00000000" w:rsidDel="00000000" w:rsidP="00000000" w:rsidRDefault="00000000" w:rsidRPr="00000000" w14:paraId="0000007A">
      <w:pPr>
        <w:widowControl w:val="1"/>
        <w:pBdr>
          <w:top w:space="0" w:sz="0" w:val="nil"/>
          <w:left w:space="0" w:sz="0" w:val="nil"/>
          <w:bottom w:space="0" w:sz="0" w:val="nil"/>
          <w:right w:space="0" w:sz="0" w:val="nil"/>
          <w:between w:space="0" w:sz="0" w:val="nil"/>
        </w:pBdr>
        <w:ind w:left="1080" w:firstLine="0"/>
        <w:jc w:val="both"/>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7B">
      <w:pPr>
        <w:keepNext w:val="1"/>
        <w:widowControl w:val="1"/>
        <w:pBdr>
          <w:top w:space="0" w:sz="0" w:val="nil"/>
          <w:left w:space="0" w:sz="0" w:val="nil"/>
          <w:bottom w:space="0" w:sz="0" w:val="nil"/>
          <w:right w:space="0" w:sz="0" w:val="nil"/>
          <w:between w:space="0" w:sz="0" w:val="nil"/>
        </w:pBdr>
        <w:spacing w:after="240" w:before="240" w:lineRule="auto"/>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Annex B: Further Competition Award Criteria</w:t>
      </w:r>
    </w:p>
    <w:p w:rsidR="00000000" w:rsidDel="00000000" w:rsidP="00000000" w:rsidRDefault="00000000" w:rsidRPr="00000000" w14:paraId="0000007C">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of tenders received through the Further Competition Procedure:</w:t>
      </w:r>
    </w:p>
    <w:tbl>
      <w:tblPr>
        <w:tblStyle w:val="Table2"/>
        <w:tblW w:w="901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8"/>
        <w:gridCol w:w="4508"/>
        <w:tblGridChange w:id="0">
          <w:tblGrid>
            <w:gridCol w:w="4508"/>
            <w:gridCol w:w="4508"/>
          </w:tblGrid>
        </w:tblGridChange>
      </w:tblGrid>
      <w:tr>
        <w:trPr>
          <w:cantSplit w:val="0"/>
          <w:tblHeader w:val="0"/>
        </w:trPr>
        <w:tc>
          <w:tcPr>
            <w:shd w:fill="e7e6e6" w:val="clear"/>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Criteria</w:t>
            </w:r>
            <w:r w:rsidDel="00000000" w:rsidR="00000000" w:rsidRPr="00000000">
              <w:rPr>
                <w:rtl w:val="0"/>
              </w:rPr>
            </w:r>
          </w:p>
        </w:tc>
        <w:tc>
          <w:tcPr>
            <w:shd w:fill="e7e6e6" w:val="clear"/>
          </w:tcPr>
          <w:p w:rsidR="00000000" w:rsidDel="00000000" w:rsidP="00000000" w:rsidRDefault="00000000" w:rsidRPr="00000000" w14:paraId="0000007E">
            <w:pPr>
              <w:widowControl w:val="1"/>
              <w:spacing w:after="200" w:before="120" w:line="276" w:lineRule="auto"/>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Relative weighting percentage </w:t>
            </w:r>
            <w:r w:rsidDel="00000000" w:rsidR="00000000" w:rsidRPr="00000000">
              <w:rPr>
                <w:rtl w:val="0"/>
              </w:rPr>
            </w:r>
          </w:p>
        </w:tc>
      </w:tr>
      <w:tr>
        <w:trPr>
          <w:cantSplit w:val="0"/>
          <w:tblHeader w:val="0"/>
        </w:trPr>
        <w:tc>
          <w:tcPr/>
          <w:p w:rsidR="00000000" w:rsidDel="00000000" w:rsidP="00000000" w:rsidRDefault="00000000" w:rsidRPr="00000000" w14:paraId="0000007F">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Quality</w:t>
            </w:r>
          </w:p>
          <w:p w:rsidR="00000000" w:rsidDel="00000000" w:rsidP="00000000" w:rsidRDefault="00000000" w:rsidRPr="00000000" w14:paraId="00000080">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Which consists of the following criteria:</w:t>
            </w:r>
          </w:p>
          <w:p w:rsidR="00000000" w:rsidDel="00000000" w:rsidP="00000000" w:rsidRDefault="00000000" w:rsidRPr="00000000" w14:paraId="00000081">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Added Value / Innovation</w:t>
            </w:r>
          </w:p>
          <w:p w:rsidR="00000000" w:rsidDel="00000000" w:rsidP="00000000" w:rsidRDefault="00000000" w:rsidRPr="00000000" w14:paraId="00000082">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Approach To Delivery Of The Services</w:t>
            </w:r>
          </w:p>
          <w:p w:rsidR="00000000" w:rsidDel="00000000" w:rsidP="00000000" w:rsidRDefault="00000000" w:rsidRPr="00000000" w14:paraId="00000083">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Implementation</w:t>
            </w:r>
            <w:r w:rsidDel="00000000" w:rsidR="00000000" w:rsidRPr="00000000">
              <w:rPr>
                <w:rtl w:val="0"/>
              </w:rPr>
            </w:r>
          </w:p>
          <w:p w:rsidR="00000000" w:rsidDel="00000000" w:rsidP="00000000" w:rsidRDefault="00000000" w:rsidRPr="00000000" w14:paraId="00000084">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Use Of Supply Chain / Partners</w:t>
            </w:r>
            <w:r w:rsidDel="00000000" w:rsidR="00000000" w:rsidRPr="00000000">
              <w:rPr>
                <w:rtl w:val="0"/>
              </w:rPr>
            </w:r>
          </w:p>
        </w:tc>
        <w:tc>
          <w:tcPr/>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120" w:before="12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0-100%</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Cost effectiveness</w:t>
            </w:r>
            <w:r w:rsidDel="00000000" w:rsidR="00000000" w:rsidRPr="00000000">
              <w:rPr>
                <w:rtl w:val="0"/>
              </w:rPr>
            </w:r>
          </w:p>
        </w:tc>
        <w:tc>
          <w:tcPr/>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0-100%</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Technical merit</w:t>
            </w:r>
            <w:r w:rsidDel="00000000" w:rsidR="00000000" w:rsidRPr="00000000">
              <w:rPr>
                <w:rtl w:val="0"/>
              </w:rPr>
            </w:r>
          </w:p>
        </w:tc>
        <w:tc>
          <w:tcPr/>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0-100%</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Technical assistance</w:t>
            </w:r>
            <w:r w:rsidDel="00000000" w:rsidR="00000000" w:rsidRPr="00000000">
              <w:rPr>
                <w:rtl w:val="0"/>
              </w:rPr>
            </w:r>
          </w:p>
        </w:tc>
        <w:tc>
          <w:tcPr/>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0-100%</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After sales service</w:t>
            </w:r>
            <w:r w:rsidDel="00000000" w:rsidR="00000000" w:rsidRPr="00000000">
              <w:rPr>
                <w:rtl w:val="0"/>
              </w:rPr>
            </w:r>
          </w:p>
        </w:tc>
        <w:tc>
          <w:tcPr/>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0-100%</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Price</w:t>
            </w:r>
            <w:r w:rsidDel="00000000" w:rsidR="00000000" w:rsidRPr="00000000">
              <w:rPr>
                <w:rtl w:val="0"/>
              </w:rPr>
            </w:r>
          </w:p>
        </w:tc>
        <w:tc>
          <w:tcPr/>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0-100%</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Aesthetic and functional characteristics]</w:t>
            </w:r>
            <w:r w:rsidDel="00000000" w:rsidR="00000000" w:rsidRPr="00000000">
              <w:rPr>
                <w:rtl w:val="0"/>
              </w:rPr>
            </w:r>
          </w:p>
        </w:tc>
        <w:tc>
          <w:tcPr/>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0-100%</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Running costs</w:t>
            </w:r>
          </w:p>
        </w:tc>
        <w:tc>
          <w:tcPr/>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0-100%</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p>
        </w:tc>
      </w:tr>
      <w:tr>
        <w:trPr>
          <w:cantSplit w:val="0"/>
          <w:tblHeader w:val="0"/>
        </w:trPr>
        <w:tc>
          <w:tcPr/>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Environmental characteristics</w:t>
            </w:r>
          </w:p>
        </w:tc>
        <w:tc>
          <w:tcPr/>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0-100%</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p>
        </w:tc>
      </w:tr>
      <w:tr>
        <w:trPr>
          <w:cantSplit w:val="0"/>
          <w:tblHeader w:val="0"/>
        </w:trPr>
        <w:tc>
          <w:tcPr/>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Delivery date and delivery period</w:t>
            </w:r>
          </w:p>
        </w:tc>
        <w:tc>
          <w:tcPr/>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0-100%</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p>
        </w:tc>
      </w:tr>
      <w:tr>
        <w:trPr>
          <w:cantSplit w:val="0"/>
          <w:tblHeader w:val="0"/>
        </w:trPr>
        <w:tc>
          <w:tcPr/>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Social Value</w:t>
            </w:r>
            <w:r w:rsidDel="00000000" w:rsidR="00000000" w:rsidRPr="00000000">
              <w:rPr>
                <w:rtl w:val="0"/>
              </w:rPr>
            </w:r>
          </w:p>
        </w:tc>
        <w:tc>
          <w:tcPr/>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0-100%</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p>
        </w:tc>
      </w:tr>
    </w:tbl>
    <w:p w:rsidR="00000000" w:rsidDel="00000000" w:rsidP="00000000" w:rsidRDefault="00000000" w:rsidRPr="00000000" w14:paraId="0000009A">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B">
      <w:pPr>
        <w:widowControl w:val="1"/>
        <w:pBdr>
          <w:top w:space="0" w:sz="0" w:val="nil"/>
          <w:left w:space="0" w:sz="0" w:val="nil"/>
          <w:bottom w:space="0" w:sz="0" w:val="nil"/>
          <w:right w:space="0" w:sz="0" w:val="nil"/>
          <w:between w:space="0" w:sz="0" w:val="nil"/>
        </w:pBdr>
        <w:jc w:val="both"/>
        <w:rPr>
          <w:rFonts w:ascii="Arial" w:cs="Arial" w:eastAsia="Arial" w:hAnsi="Arial"/>
          <w:color w:val="ffffff"/>
          <w:sz w:val="24"/>
          <w:szCs w:val="24"/>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Arial Bold"/>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2">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RM6265</w:t>
      <w:tab/>
      <w:t xml:space="preserve">                                           </w:t>
    </w:r>
  </w:p>
  <w:p w:rsidR="00000000" w:rsidDel="00000000" w:rsidP="00000000" w:rsidRDefault="00000000" w:rsidRPr="00000000" w14:paraId="000000A3">
    <w:pPr>
      <w:widowControl w:val="1"/>
      <w:pBdr>
        <w:top w:space="0" w:sz="0" w:val="nil"/>
        <w:left w:space="0" w:sz="0" w:val="nil"/>
        <w:bottom w:space="0" w:sz="0" w:val="nil"/>
        <w:right w:space="0" w:sz="0" w:val="nil"/>
        <w:between w:space="0" w:sz="0" w:val="nil"/>
      </w:pBdr>
      <w:tabs>
        <w:tab w:val="center" w:pos="4513"/>
        <w:tab w:val="right" w:pos="9026"/>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4">
    <w:pPr>
      <w:tabs>
        <w:tab w:val="left" w:pos="720"/>
        <w:tab w:val="left" w:pos="1440"/>
        <w:tab w:val="left" w:pos="2160"/>
        <w:tab w:val="left" w:pos="2880"/>
        <w:tab w:val="left" w:pos="3600"/>
        <w:tab w:val="center" w:pos="4513"/>
      </w:tabs>
      <w:rPr>
        <w:rFonts w:ascii="Arial" w:cs="Arial" w:eastAsia="Arial" w:hAnsi="Arial"/>
        <w:sz w:val="20"/>
        <w:szCs w:val="20"/>
      </w:rPr>
    </w:pPr>
    <w:bookmarkStart w:colFirst="0" w:colLast="0" w:name="_heading=h.gjdgxs" w:id="13"/>
    <w:bookmarkEnd w:id="13"/>
    <w:r w:rsidDel="00000000" w:rsidR="00000000" w:rsidRPr="00000000">
      <w:rPr>
        <w:rFonts w:ascii="Arial" w:cs="Arial" w:eastAsia="Arial" w:hAnsi="Arial"/>
        <w:sz w:val="20"/>
        <w:szCs w:val="20"/>
        <w:rtl w:val="0"/>
      </w:rPr>
      <w:t xml:space="preserve">Model Version : v3.3</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6">
    <w:pPr>
      <w:widowControl w:val="1"/>
      <w:pBdr>
        <w:top w:space="0" w:sz="0" w:val="nil"/>
        <w:left w:space="0" w:sz="0" w:val="nil"/>
        <w:bottom w:space="0" w:sz="0" w:val="nil"/>
        <w:right w:space="0" w:sz="0" w:val="nil"/>
        <w:between w:space="0" w:sz="0" w:val="nil"/>
      </w:pBdr>
      <w:tabs>
        <w:tab w:val="center" w:pos="4513"/>
        <w:tab w:val="right" w:pos="9026"/>
      </w:tabs>
      <w:jc w:val="both"/>
      <w:rPr>
        <w:color w:val="000000"/>
      </w:rPr>
    </w:pPr>
    <w:r w:rsidDel="00000000" w:rsidR="00000000" w:rsidRPr="00000000">
      <w:rPr>
        <w:rtl w:val="0"/>
      </w:rPr>
    </w:r>
  </w:p>
  <w:p w:rsidR="00000000" w:rsidDel="00000000" w:rsidP="00000000" w:rsidRDefault="00000000" w:rsidRPr="00000000" w14:paraId="000000A7">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r>
  </w:p>
  <w:p w:rsidR="00000000" w:rsidDel="00000000" w:rsidP="00000000" w:rsidRDefault="00000000" w:rsidRPr="00000000" w14:paraId="000000A8">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9">
    <w:pPr>
      <w:tabs>
        <w:tab w:val="left" w:pos="720"/>
        <w:tab w:val="left" w:pos="1440"/>
        <w:tab w:val="left" w:pos="2160"/>
        <w:tab w:val="left" w:pos="2880"/>
        <w:tab w:val="left" w:pos="3600"/>
        <w:tab w:val="center"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C">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Framework Schedule 7 (Call-Off Award Procedure)</w:t>
    </w:r>
  </w:p>
  <w:p w:rsidR="00000000" w:rsidDel="00000000" w:rsidP="00000000" w:rsidRDefault="00000000" w:rsidRPr="00000000" w14:paraId="0000009D">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p w:rsidR="00000000" w:rsidDel="00000000" w:rsidP="00000000" w:rsidRDefault="00000000" w:rsidRPr="00000000" w14:paraId="0000009E">
    <w:pPr>
      <w:widowControl w:val="1"/>
      <w:pBdr>
        <w:top w:space="0" w:sz="0" w:val="nil"/>
        <w:left w:space="0" w:sz="0" w:val="nil"/>
        <w:bottom w:space="0" w:sz="0" w:val="nil"/>
        <w:right w:space="0" w:sz="0" w:val="nil"/>
        <w:between w:space="0" w:sz="0" w:val="nil"/>
      </w:pBdr>
      <w:tabs>
        <w:tab w:val="center" w:pos="4513"/>
        <w:tab w:val="right" w:pos="9026"/>
      </w:tabs>
      <w:jc w:val="both"/>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F">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7 (Call-Off Award Procedure)</w:t>
    </w:r>
  </w:p>
  <w:p w:rsidR="00000000" w:rsidDel="00000000" w:rsidP="00000000" w:rsidRDefault="00000000" w:rsidRPr="00000000" w14:paraId="000000A0">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rPr/>
    </w:lvl>
    <w:lvl w:ilvl="7">
      <w:start w:val="1"/>
      <w:numFmt w:val="decimal"/>
      <w:lvlText w:val="%1.%2.%3.%4.%5.%6.%7.%8"/>
      <w:lvlJc w:val="left"/>
      <w:pPr>
        <w:ind w:left="2520" w:hanging="1440"/>
      </w:pPr>
      <w:rPr/>
    </w:lvl>
    <w:lvl w:ilvl="8">
      <w:start w:val="1"/>
      <w:numFmt w:val="decimal"/>
      <w:lvlText w:val="%1.%2.%3.%4.%5.%6.%7.%8.%9"/>
      <w:lvlJc w:val="left"/>
      <w:pPr>
        <w:ind w:left="2880" w:hanging="180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32FDD"/>
    <w:pPr>
      <w:keepNext w:val="1"/>
      <w:keepLines w:val="1"/>
      <w:spacing w:before="240"/>
      <w:outlineLvl w:val="0"/>
    </w:pPr>
    <w:rPr>
      <w:rFonts w:asciiTheme="majorHAnsi" w:cstheme="majorBidi" w:eastAsiaTheme="majorEastAsia" w:hAnsiTheme="majorHAnsi"/>
      <w:color w:val="2f5496" w:themeColor="accent1" w:themeShade="0000BF"/>
      <w:sz w:val="32"/>
      <w:szCs w:val="32"/>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tandard" w:customStyle="1">
    <w:name w:val="Standard"/>
    <w:pPr>
      <w:widowControl w:val="1"/>
      <w:spacing w:after="240"/>
      <w:jc w:val="both"/>
    </w:pPr>
    <w:rPr>
      <w:rFonts w:cs="Arial" w:eastAsia="Times New Roman"/>
    </w:rPr>
  </w:style>
  <w:style w:type="paragraph" w:styleId="Heading" w:customStyle="1">
    <w:name w:val="Heading"/>
    <w:basedOn w:val="Standard"/>
    <w:next w:val="Textbody"/>
    <w:pPr>
      <w:keepNext w:val="1"/>
      <w:spacing w:after="120" w:before="240"/>
    </w:pPr>
    <w:rPr>
      <w:rFonts w:ascii="Liberation Sans" w:cs="Arial Unicode MS" w:eastAsia="Arial Unicode MS" w:hAnsi="Liberation Sans"/>
      <w:sz w:val="28"/>
      <w:szCs w:val="28"/>
    </w:rPr>
  </w:style>
  <w:style w:type="paragraph" w:styleId="Textbody" w:customStyle="1">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val="1"/>
      <w:spacing w:after="120" w:before="120"/>
    </w:pPr>
    <w:rPr>
      <w:i w:val="1"/>
      <w:iCs w:val="1"/>
      <w:sz w:val="24"/>
      <w:szCs w:val="24"/>
    </w:rPr>
  </w:style>
  <w:style w:type="paragraph" w:styleId="Index" w:customStyle="1">
    <w:name w:val="Index"/>
    <w:basedOn w:val="Standard"/>
    <w:pPr>
      <w:suppressLineNumbers w:val="1"/>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styleId="MarginText" w:customStyle="1">
    <w:name w:val="Margin Text"/>
    <w:basedOn w:val="Standard"/>
    <w:pPr>
      <w:keepNext w:val="1"/>
      <w:overflowPunct w:val="0"/>
      <w:spacing w:after="120" w:before="240"/>
      <w:ind w:left="142"/>
    </w:pPr>
    <w:rPr>
      <w:rFonts w:cs="Times New Roman" w:eastAsia="STZhongsong"/>
      <w:szCs w:val="18"/>
      <w:lang w:eastAsia="zh-CN"/>
    </w:rPr>
  </w:style>
  <w:style w:type="paragraph" w:styleId="GPSL1CLAUSEHEADING" w:customStyle="1">
    <w:name w:val="GPS L1 CLAUSE HEADING"/>
    <w:basedOn w:val="Standard"/>
    <w:next w:val="Standard"/>
    <w:pPr>
      <w:tabs>
        <w:tab w:val="left" w:pos="142"/>
      </w:tabs>
      <w:overflowPunct w:val="0"/>
      <w:spacing w:before="120"/>
      <w:outlineLvl w:val="1"/>
    </w:pPr>
    <w:rPr>
      <w:rFonts w:eastAsia="STZhongsong"/>
      <w:b w:val="1"/>
      <w:caps w:val="1"/>
      <w:lang w:eastAsia="zh-CN"/>
    </w:rPr>
  </w:style>
  <w:style w:type="paragraph" w:styleId="GPSL3numberedclause" w:customStyle="1">
    <w:name w:val="GPS L3 numbered clause"/>
    <w:basedOn w:val="Standard"/>
    <w:pPr>
      <w:tabs>
        <w:tab w:val="left" w:pos="3641"/>
      </w:tabs>
      <w:overflowPunct w:val="0"/>
      <w:spacing w:after="120" w:before="120"/>
      <w:ind w:left="1656"/>
    </w:pPr>
    <w:rPr>
      <w:lang w:eastAsia="zh-CN"/>
    </w:rPr>
  </w:style>
  <w:style w:type="paragraph" w:styleId="GPSL4numberedclause" w:customStyle="1">
    <w:name w:val="GPS L4 numbered clause"/>
    <w:basedOn w:val="GPSL3numberedclause"/>
    <w:pPr>
      <w:tabs>
        <w:tab w:val="clear" w:pos="3641"/>
      </w:tabs>
      <w:ind w:left="2592" w:hanging="936"/>
    </w:pPr>
  </w:style>
  <w:style w:type="paragraph" w:styleId="GPSL5numberedclause" w:customStyle="1">
    <w:name w:val="GPS L5 numbered clause"/>
    <w:basedOn w:val="GPSL4numberedclause"/>
    <w:pPr>
      <w:tabs>
        <w:tab w:val="left" w:pos="6238"/>
      </w:tabs>
      <w:ind w:left="3119" w:hanging="567"/>
    </w:pPr>
  </w:style>
  <w:style w:type="paragraph" w:styleId="GPSL2NumberedBoldHeading" w:customStyle="1">
    <w:name w:val="GPS L2 Numbered Bold Heading"/>
    <w:basedOn w:val="Standard"/>
    <w:pPr>
      <w:tabs>
        <w:tab w:val="left" w:pos="3054"/>
      </w:tabs>
      <w:overflowPunct w:val="0"/>
      <w:spacing w:after="120" w:before="120"/>
      <w:ind w:left="1920"/>
    </w:pPr>
    <w:rPr>
      <w:b w:val="1"/>
      <w:lang w:eastAsia="zh-CN"/>
    </w:rPr>
  </w:style>
  <w:style w:type="paragraph" w:styleId="GPSL6numbered" w:customStyle="1">
    <w:name w:val="GPS L6 numbered"/>
    <w:basedOn w:val="GPSL5numberedclause"/>
    <w:pPr>
      <w:tabs>
        <w:tab w:val="clear" w:pos="6238"/>
        <w:tab w:val="left" w:pos="4046"/>
        <w:tab w:val="left" w:pos="7372"/>
      </w:tabs>
      <w:ind w:left="3686"/>
    </w:pPr>
  </w:style>
  <w:style w:type="paragraph" w:styleId="GPSL1Guidance" w:customStyle="1">
    <w:name w:val="GPS L1 Guidance"/>
    <w:basedOn w:val="Standard"/>
    <w:pPr>
      <w:spacing w:after="120" w:before="240"/>
      <w:ind w:left="426"/>
    </w:pPr>
    <w:rPr>
      <w:b w:val="1"/>
      <w:i w:val="1"/>
    </w:rPr>
  </w:style>
  <w:style w:type="paragraph" w:styleId="GPSL1SCHEDULEHeading" w:customStyle="1">
    <w:name w:val="GPS L1 SCHEDULE Heading"/>
    <w:basedOn w:val="GPSL1CLAUSEHEADING"/>
    <w:pPr>
      <w:tabs>
        <w:tab w:val="clear" w:pos="142"/>
      </w:tabs>
    </w:pPr>
  </w:style>
  <w:style w:type="paragraph" w:styleId="GPSmacrorestart" w:customStyle="1">
    <w:name w:val="GPS macro restart"/>
    <w:basedOn w:val="Standard"/>
    <w:qFormat w:val="1"/>
    <w:pPr>
      <w:spacing w:after="0"/>
    </w:pPr>
    <w:rPr>
      <w:color w:val="ffffff"/>
      <w:sz w:val="16"/>
      <w:szCs w:val="16"/>
    </w:rPr>
  </w:style>
  <w:style w:type="paragraph" w:styleId="GPSSchTitleandNumber" w:customStyle="1">
    <w:name w:val="GPS Sch Title and Number"/>
    <w:basedOn w:val="Standard"/>
    <w:pPr>
      <w:keepNext w:val="1"/>
      <w:overflowPunct w:val="0"/>
      <w:ind w:firstLine="426"/>
      <w:jc w:val="center"/>
      <w:outlineLvl w:val="0"/>
    </w:pPr>
    <w:rPr>
      <w:rFonts w:ascii="Arial Bold" w:cs="Times New Roman" w:eastAsia="STZhongsong" w:hAnsi="Arial Bold"/>
      <w:b w:val="1"/>
      <w:caps w:val="1"/>
      <w:lang w:eastAsia="zh-CN"/>
    </w:rPr>
  </w:style>
  <w:style w:type="paragraph" w:styleId="GPSSchPart" w:customStyle="1">
    <w:name w:val="GPS Sch Part"/>
    <w:basedOn w:val="Standard"/>
    <w:qFormat w:val="1"/>
    <w:pPr>
      <w:keepNext w:val="1"/>
      <w:overflowPunct w:val="0"/>
      <w:spacing w:before="240"/>
      <w:ind w:firstLine="426"/>
      <w:jc w:val="center"/>
    </w:pPr>
    <w:rPr>
      <w:rFonts w:ascii="Arial Bold" w:cs="Times New Roman" w:eastAsia="STZhongsong" w:hAnsi="Arial Bold"/>
      <w:b w:val="1"/>
      <w:caps w:val="1"/>
      <w:lang w:eastAsia="zh-CN"/>
    </w:rPr>
  </w:style>
  <w:style w:type="paragraph" w:styleId="GPSL2Numbered" w:customStyle="1">
    <w:name w:val="GPS L2 Numbered"/>
    <w:basedOn w:val="GPSL2NumberedBoldHeading"/>
    <w:pPr>
      <w:tabs>
        <w:tab w:val="clear" w:pos="3054"/>
      </w:tabs>
      <w:ind w:left="936" w:hanging="576"/>
    </w:pPr>
    <w:rPr>
      <w:b w:val="0"/>
    </w:rPr>
  </w:style>
  <w:style w:type="paragraph" w:styleId="GPSL1Schedulenumbered" w:customStyle="1">
    <w:name w:val="GPS L1 Schedule numbered"/>
    <w:basedOn w:val="Standard"/>
    <w:qFormat w:val="1"/>
    <w:pPr>
      <w:tabs>
        <w:tab w:val="left" w:pos="851"/>
      </w:tabs>
    </w:pPr>
  </w:style>
  <w:style w:type="paragraph" w:styleId="BalloonText">
    <w:name w:val="Balloon Text"/>
    <w:basedOn w:val="Standard"/>
    <w:pPr>
      <w:spacing w:after="0"/>
    </w:pPr>
    <w:rPr>
      <w:rFonts w:ascii="Tahoma" w:cs="Tahoma" w:eastAsia="Tahoma" w:hAnsi="Tahoma"/>
      <w:sz w:val="16"/>
      <w:szCs w:val="16"/>
    </w:rPr>
  </w:style>
  <w:style w:type="paragraph" w:styleId="GPSL2Guidance" w:customStyle="1">
    <w:name w:val="GPS L2 Guidance"/>
    <w:basedOn w:val="Standard"/>
    <w:pPr>
      <w:tabs>
        <w:tab w:val="left" w:pos="2268"/>
      </w:tabs>
      <w:overflowPunct w:val="0"/>
      <w:spacing w:after="120" w:before="120"/>
      <w:ind w:left="1134"/>
    </w:pPr>
    <w:rPr>
      <w:b w:val="1"/>
      <w:i w:val="1"/>
      <w:lang w:eastAsia="zh-CN"/>
    </w:rPr>
  </w:style>
  <w:style w:type="paragraph" w:styleId="GPSL2Indent" w:customStyle="1">
    <w:name w:val="GPS L2 Indent"/>
    <w:basedOn w:val="Standard"/>
    <w:pPr>
      <w:tabs>
        <w:tab w:val="left" w:pos="4536"/>
      </w:tabs>
      <w:spacing w:after="220"/>
      <w:ind w:left="1134"/>
    </w:pPr>
    <w:rPr>
      <w:szCs w:val="24"/>
    </w:rPr>
  </w:style>
  <w:style w:type="paragraph" w:styleId="GPSL4Guidance" w:customStyle="1">
    <w:name w:val="GPS L4 Guidance"/>
    <w:basedOn w:val="Standard"/>
    <w:pPr>
      <w:tabs>
        <w:tab w:val="left" w:pos="3970"/>
      </w:tabs>
      <w:overflowPunct w:val="0"/>
      <w:spacing w:after="120" w:before="120"/>
      <w:ind w:left="1985"/>
    </w:pPr>
    <w:rPr>
      <w:b w:val="1"/>
      <w:i w:val="1"/>
      <w:lang w:eastAsia="zh-CN"/>
    </w:rPr>
  </w:style>
  <w:style w:type="paragraph" w:styleId="GPSL2non-numberboldheading" w:customStyle="1">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val="1"/>
      <w:bCs w:val="1"/>
    </w:rPr>
  </w:style>
  <w:style w:type="character" w:styleId="HeaderChar" w:customStyle="1">
    <w:name w:val="Header Char"/>
    <w:basedOn w:val="DefaultParagraphFont"/>
  </w:style>
  <w:style w:type="character" w:styleId="FooterChar" w:customStyle="1">
    <w:name w:val="Footer Char"/>
    <w:basedOn w:val="DefaultParagraphFont"/>
    <w:uiPriority w:val="99"/>
  </w:style>
  <w:style w:type="character" w:styleId="Emphasis">
    <w:name w:val="Emphasis"/>
    <w:basedOn w:val="DefaultParagraphFont"/>
    <w:rPr>
      <w:i w:val="1"/>
      <w:iCs w:val="1"/>
    </w:rPr>
  </w:style>
  <w:style w:type="character" w:styleId="MarginTextChar" w:customStyle="1">
    <w:name w:val="Margin Text Char"/>
    <w:rPr>
      <w:rFonts w:ascii="Calibri" w:cs="Times New Roman" w:eastAsia="STZhongsong" w:hAnsi="Calibri"/>
      <w:szCs w:val="18"/>
      <w:lang w:eastAsia="zh-CN"/>
    </w:rPr>
  </w:style>
  <w:style w:type="character" w:styleId="GPSL2NumberedChar" w:customStyle="1">
    <w:name w:val="GPS L2 Numbered Char"/>
    <w:rPr>
      <w:rFonts w:ascii="Calibri" w:cs="Arial" w:eastAsia="Times New Roman" w:hAnsi="Calibri"/>
      <w:lang w:eastAsia="zh-CN"/>
    </w:rPr>
  </w:style>
  <w:style w:type="character" w:styleId="GPSL1SCHEDULEHeadingChar" w:customStyle="1">
    <w:name w:val="GPS L1 SCHEDULE Heading Char"/>
    <w:rPr>
      <w:rFonts w:ascii="Calibri" w:cs="Arial" w:eastAsia="STZhongsong" w:hAnsi="Calibri"/>
      <w:b w:val="1"/>
      <w:caps w:val="1"/>
      <w:lang w:eastAsia="zh-CN"/>
    </w:rPr>
  </w:style>
  <w:style w:type="character" w:styleId="GPSL1SchedulenumberedChar1" w:customStyle="1">
    <w:name w:val="GPS L1 Schedule numbered Char1"/>
    <w:rPr>
      <w:rFonts w:ascii="Calibri" w:cs="Arial" w:eastAsia="Times New Roman" w:hAnsi="Calibri"/>
    </w:rPr>
  </w:style>
  <w:style w:type="character" w:styleId="GPSL1GuidanceChar" w:customStyle="1">
    <w:name w:val="GPS L1 Guidance Char"/>
    <w:rPr>
      <w:rFonts w:ascii="Calibri" w:cs="Arial" w:eastAsia="Times New Roman" w:hAnsi="Calibri"/>
      <w:b w:val="1"/>
      <w:i w:val="1"/>
    </w:rPr>
  </w:style>
  <w:style w:type="character" w:styleId="GPSSchTitleandNumberChar" w:customStyle="1">
    <w:name w:val="GPS Sch Title and Number Char"/>
    <w:rPr>
      <w:rFonts w:ascii="Arial Bold" w:cs="Times New Roman" w:eastAsia="STZhongsong" w:hAnsi="Arial Bold"/>
      <w:b w:val="1"/>
      <w:caps w:val="1"/>
      <w:lang w:eastAsia="zh-CN"/>
    </w:rPr>
  </w:style>
  <w:style w:type="character" w:styleId="GPSSchPartChar" w:customStyle="1">
    <w:name w:val="GPS Sch Part Char"/>
    <w:rPr>
      <w:rFonts w:ascii="Arial Bold" w:cs="Times New Roman" w:eastAsia="STZhongsong" w:hAnsi="Arial Bold"/>
      <w:b w:val="1"/>
      <w:caps w:val="1"/>
      <w:lang w:eastAsia="zh-CN"/>
    </w:rPr>
  </w:style>
  <w:style w:type="character" w:styleId="BalloonTextChar" w:customStyle="1">
    <w:name w:val="Balloon Text Char"/>
    <w:basedOn w:val="DefaultParagraphFont"/>
    <w:rPr>
      <w:rFonts w:ascii="Tahoma" w:cs="Tahoma" w:eastAsia="Times New Roman" w:hAnsi="Tahoma"/>
      <w:sz w:val="16"/>
      <w:szCs w:val="16"/>
    </w:rPr>
  </w:style>
  <w:style w:type="character" w:styleId="GPSL4numberedclauseChar" w:customStyle="1">
    <w:name w:val="GPS L4 numbered clause Char"/>
    <w:rPr>
      <w:rFonts w:ascii="Calibri" w:cs="Arial" w:eastAsia="Times New Roman" w:hAnsi="Calibri"/>
      <w:lang w:eastAsia="zh-CN"/>
    </w:rPr>
  </w:style>
  <w:style w:type="character" w:styleId="GPSL3numberedclauseChar" w:customStyle="1">
    <w:name w:val="GPS L3 numbered clause Char"/>
    <w:rPr>
      <w:rFonts w:ascii="Calibri" w:cs="Arial" w:eastAsia="Times New Roman" w:hAnsi="Calibri"/>
      <w:lang w:eastAsia="zh-CN"/>
    </w:rPr>
  </w:style>
  <w:style w:type="character" w:styleId="GPSL5numberedclauseChar" w:customStyle="1">
    <w:name w:val="GPS L5 numbered clause Char"/>
    <w:rPr>
      <w:rFonts w:ascii="Calibri" w:cs="Arial" w:eastAsia="Times New Roman" w:hAnsi="Calibri"/>
      <w:lang w:eastAsia="zh-CN"/>
    </w:rPr>
  </w:style>
  <w:style w:type="character" w:styleId="GPSL4GuidanceChar" w:customStyle="1">
    <w:name w:val="GPS L4 Guidance Char"/>
    <w:rPr>
      <w:rFonts w:ascii="Calibri" w:cs="Arial" w:eastAsia="Times New Roman" w:hAnsi="Calibri"/>
      <w:b w:val="1"/>
      <w:i w:val="1"/>
      <w:lang w:eastAsia="zh-CN"/>
    </w:rPr>
  </w:style>
  <w:style w:type="character" w:styleId="GPSL2non-numberboldheadingChar" w:customStyle="1">
    <w:name w:val="GPS L2 non-number bold heading Char"/>
    <w:rPr>
      <w:rFonts w:ascii="Calibri" w:cs="Arial" w:eastAsia="Times New Roman" w:hAnsi="Calibri"/>
      <w:b w:val="1"/>
      <w:lang w:eastAsia="zh-CN"/>
    </w:rPr>
  </w:style>
  <w:style w:type="character" w:styleId="GPSL2IndentChar" w:customStyle="1">
    <w:name w:val="GPS L2 Indent Char"/>
    <w:rPr>
      <w:rFonts w:ascii="Calibri" w:cs="Arial" w:eastAsia="Times New Roman" w:hAnsi="Calibri"/>
      <w:szCs w:val="24"/>
    </w:rPr>
  </w:style>
  <w:style w:type="character" w:styleId="GPSL2GuidanceChar" w:customStyle="1">
    <w:name w:val="GPS L2 Guidance Char"/>
    <w:rPr>
      <w:rFonts w:ascii="Calibri" w:cs="Arial" w:eastAsia="Times New Roman" w:hAnsi="Calibri"/>
      <w:b w:val="1"/>
      <w:i w:val="1"/>
      <w:lang w:eastAsia="zh-CN"/>
    </w:rPr>
  </w:style>
  <w:style w:type="character" w:styleId="CommentReference">
    <w:name w:val="annotation reference"/>
    <w:basedOn w:val="DefaultParagraphFont"/>
    <w:rPr>
      <w:sz w:val="16"/>
      <w:szCs w:val="16"/>
    </w:rPr>
  </w:style>
  <w:style w:type="character" w:styleId="CommentTextChar" w:customStyle="1">
    <w:name w:val="Comment Text Char"/>
    <w:basedOn w:val="DefaultParagraphFont"/>
    <w:rPr>
      <w:rFonts w:ascii="Calibri" w:cs="Arial" w:eastAsia="Times New Roman" w:hAnsi="Calibri"/>
      <w:sz w:val="20"/>
      <w:szCs w:val="20"/>
    </w:rPr>
  </w:style>
  <w:style w:type="character" w:styleId="CommentSubjectChar" w:customStyle="1">
    <w:name w:val="Comment Subject Char"/>
    <w:basedOn w:val="CommentTextChar"/>
    <w:rPr>
      <w:rFonts w:ascii="Calibri" w:cs="Arial" w:eastAsia="Times New Roman" w:hAnsi="Calibri"/>
      <w:b w:val="1"/>
      <w:bCs w:val="1"/>
      <w:sz w:val="20"/>
      <w:szCs w:val="20"/>
    </w:rPr>
  </w:style>
  <w:style w:type="character" w:styleId="ListLabel1" w:customStyle="1">
    <w:name w:val="ListLabel 1"/>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 w:customStyle="1">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 w:customStyle="1">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 w:customStyle="1">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 w:customStyle="1">
    <w:name w:val="ListLabel 5"/>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 w:customStyle="1">
    <w:name w:val="ListLabel 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 w:customStyle="1">
    <w:name w:val="ListLabel 7"/>
    <w:rPr>
      <w:rFonts w:cs="Times New Roman"/>
    </w:rPr>
  </w:style>
  <w:style w:type="character" w:styleId="ListLabel8" w:customStyle="1">
    <w:name w:val="ListLabel 8"/>
    <w:rPr>
      <w:rFonts w:cs="Times New Roman"/>
    </w:rPr>
  </w:style>
  <w:style w:type="character" w:styleId="ListLabel9" w:customStyle="1">
    <w:name w:val="ListLabel 9"/>
    <w:rPr>
      <w:rFonts w:cs="Times New Roman"/>
    </w:rPr>
  </w:style>
  <w:style w:type="character" w:styleId="ListLabel10" w:customStyle="1">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11" w:customStyle="1">
    <w:name w:val="ListLabel 11"/>
    <w:rPr>
      <w:rFonts w:cs="Times New Roman"/>
    </w:rPr>
  </w:style>
  <w:style w:type="character" w:styleId="ListLabel12" w:customStyle="1">
    <w:name w:val="ListLabel 12"/>
    <w:rPr>
      <w:rFonts w:cs="Times New Roman"/>
    </w:rPr>
  </w:style>
  <w:style w:type="character" w:styleId="ListLabel13" w:customStyle="1">
    <w:name w:val="ListLabel 13"/>
    <w:rPr>
      <w:rFonts w:cs="Times New Roman"/>
    </w:rPr>
  </w:style>
  <w:style w:type="character" w:styleId="ListLabel14" w:customStyle="1">
    <w:name w:val="ListLabel 14"/>
    <w:rPr>
      <w:rFonts w:cs="Times New Roman"/>
    </w:rPr>
  </w:style>
  <w:style w:type="character" w:styleId="ListLabel15" w:customStyle="1">
    <w:name w:val="ListLabel 15"/>
    <w:rPr>
      <w:rFonts w:cs="Times New Roman"/>
    </w:rPr>
  </w:style>
  <w:style w:type="character" w:styleId="ListLabel16" w:customStyle="1">
    <w:name w:val="ListLabel 16"/>
    <w:rPr>
      <w:rFonts w:cs="Times New Roman"/>
    </w:rPr>
  </w:style>
  <w:style w:type="character" w:styleId="ListLabel17" w:customStyle="1">
    <w:name w:val="ListLabel 17"/>
    <w:rPr>
      <w:rFonts w:cs="Times New Roman"/>
    </w:rPr>
  </w:style>
  <w:style w:type="character" w:styleId="ListLabel18" w:customStyle="1">
    <w:name w:val="ListLabel 18"/>
    <w:rPr>
      <w:rFonts w:cs="Times New Roman"/>
    </w:rPr>
  </w:style>
  <w:style w:type="character" w:styleId="ListLabel19" w:customStyle="1">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0" w:customStyle="1">
    <w:name w:val="ListLabel 20"/>
    <w:rPr>
      <w:rFonts w:cs="Times New Roman"/>
    </w:rPr>
  </w:style>
  <w:style w:type="character" w:styleId="ListLabel21" w:customStyle="1">
    <w:name w:val="ListLabel 21"/>
    <w:rPr>
      <w:rFonts w:cs="Times New Roman"/>
    </w:rPr>
  </w:style>
  <w:style w:type="character" w:styleId="ListLabel22" w:customStyle="1">
    <w:name w:val="ListLabel 22"/>
    <w:rPr>
      <w:rFonts w:cs="Times New Roman"/>
    </w:rPr>
  </w:style>
  <w:style w:type="character" w:styleId="ListLabel23" w:customStyle="1">
    <w:name w:val="ListLabel 23"/>
    <w:rPr>
      <w:rFonts w:cs="Times New Roman"/>
    </w:rPr>
  </w:style>
  <w:style w:type="character" w:styleId="ListLabel24" w:customStyle="1">
    <w:name w:val="ListLabel 24"/>
    <w:rPr>
      <w:rFonts w:cs="Times New Roman"/>
    </w:rPr>
  </w:style>
  <w:style w:type="character" w:styleId="ListLabel25" w:customStyle="1">
    <w:name w:val="ListLabel 25"/>
    <w:rPr>
      <w:rFonts w:cs="Times New Roman"/>
    </w:rPr>
  </w:style>
  <w:style w:type="character" w:styleId="ListLabel26" w:customStyle="1">
    <w:name w:val="ListLabel 26"/>
    <w:rPr>
      <w:rFonts w:cs="Times New Roman"/>
    </w:rPr>
  </w:style>
  <w:style w:type="character" w:styleId="ListLabel27" w:customStyle="1">
    <w:name w:val="ListLabel 27"/>
    <w:rPr>
      <w:rFonts w:cs="Times New Roman"/>
    </w:rPr>
  </w:style>
  <w:style w:type="character" w:styleId="ListLabel28" w:customStyle="1">
    <w:name w:val="ListLabel 28"/>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9" w:customStyle="1">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0" w:customStyle="1">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1" w:customStyle="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2" w:customStyle="1">
    <w:name w:val="ListLabel 3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3" w:customStyle="1">
    <w:name w:val="ListLabel 33"/>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4" w:customStyle="1">
    <w:name w:val="ListLabel 34"/>
    <w:rPr>
      <w:rFonts w:cs="Times New Roman"/>
    </w:rPr>
  </w:style>
  <w:style w:type="character" w:styleId="ListLabel35" w:customStyle="1">
    <w:name w:val="ListLabel 35"/>
    <w:rPr>
      <w:rFonts w:cs="Times New Roman"/>
    </w:rPr>
  </w:style>
  <w:style w:type="character" w:styleId="ListLabel36" w:customStyle="1">
    <w:name w:val="ListLabel 36"/>
    <w:rPr>
      <w:rFonts w:cs="Times New Roman"/>
    </w:rPr>
  </w:style>
  <w:style w:type="character" w:styleId="ListLabel37" w:customStyle="1">
    <w:name w:val="ListLabel 37"/>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8" w:customStyle="1">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9" w:customStyle="1">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0" w:customStyle="1">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1" w:customStyle="1">
    <w:name w:val="ListLabel 4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2" w:customStyle="1">
    <w:name w:val="ListLabel 4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3" w:customStyle="1">
    <w:name w:val="ListLabel 43"/>
    <w:rPr>
      <w:rFonts w:cs="Times New Roman"/>
    </w:rPr>
  </w:style>
  <w:style w:type="character" w:styleId="ListLabel44" w:customStyle="1">
    <w:name w:val="ListLabel 44"/>
    <w:rPr>
      <w:rFonts w:cs="Times New Roman"/>
    </w:rPr>
  </w:style>
  <w:style w:type="character" w:styleId="ListLabel45" w:customStyle="1">
    <w:name w:val="ListLabel 45"/>
    <w:rPr>
      <w:rFonts w:cs="Times New Roman"/>
    </w:rPr>
  </w:style>
  <w:style w:type="character" w:styleId="ListLabel46" w:customStyle="1">
    <w:name w:val="ListLabel 46"/>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7" w:customStyle="1">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8" w:customStyle="1">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9" w:customStyle="1">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0" w:customStyle="1">
    <w:name w:val="ListLabel 5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1" w:customStyle="1">
    <w:name w:val="ListLabel 5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2" w:customStyle="1">
    <w:name w:val="ListLabel 52"/>
    <w:rPr>
      <w:rFonts w:cs="Times New Roman"/>
    </w:rPr>
  </w:style>
  <w:style w:type="character" w:styleId="ListLabel53" w:customStyle="1">
    <w:name w:val="ListLabel 53"/>
    <w:rPr>
      <w:rFonts w:cs="Times New Roman"/>
    </w:rPr>
  </w:style>
  <w:style w:type="character" w:styleId="ListLabel54" w:customStyle="1">
    <w:name w:val="ListLabel 54"/>
    <w:rPr>
      <w:rFonts w:cs="Times New Roman"/>
    </w:rPr>
  </w:style>
  <w:style w:type="character" w:styleId="ListLabel55" w:customStyle="1">
    <w:name w:val="ListLabel 55"/>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6" w:customStyle="1">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7" w:customStyle="1">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8" w:customStyle="1">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9" w:customStyle="1">
    <w:name w:val="ListLabel 59"/>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0" w:customStyle="1">
    <w:name w:val="ListLabel 6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1" w:customStyle="1">
    <w:name w:val="ListLabel 61"/>
    <w:rPr>
      <w:rFonts w:cs="Times New Roman"/>
    </w:rPr>
  </w:style>
  <w:style w:type="character" w:styleId="ListLabel62" w:customStyle="1">
    <w:name w:val="ListLabel 62"/>
    <w:rPr>
      <w:rFonts w:cs="Times New Roman"/>
    </w:rPr>
  </w:style>
  <w:style w:type="character" w:styleId="ListLabel63" w:customStyle="1">
    <w:name w:val="ListLabel 63"/>
    <w:rPr>
      <w:rFonts w:cs="Times New Roman"/>
    </w:rPr>
  </w:style>
  <w:style w:type="character" w:styleId="ListLabel64" w:customStyle="1">
    <w:name w:val="ListLabel 64"/>
    <w:rPr>
      <w:rFonts w:cs="Courier New"/>
      <w:b w:val="0"/>
    </w:rPr>
  </w:style>
  <w:style w:type="character" w:styleId="ListLabel65" w:customStyle="1">
    <w:name w:val="ListLabel 65"/>
    <w:rPr>
      <w:rFonts w:cs="Courier New"/>
    </w:rPr>
  </w:style>
  <w:style w:type="character" w:styleId="ListLabel66" w:customStyle="1">
    <w:name w:val="ListLabel 66"/>
    <w:rPr>
      <w:rFonts w:cs="Courier New"/>
    </w:rPr>
  </w:style>
  <w:style w:type="character" w:styleId="ListLabel67" w:customStyle="1">
    <w:name w:val="ListLabel 67"/>
    <w:rPr>
      <w:rFonts w:cs="Courier New"/>
    </w:rPr>
  </w:style>
  <w:style w:type="character" w:styleId="ListLabel68" w:customStyle="1">
    <w:name w:val="ListLabel 68"/>
    <w:rPr>
      <w:rFonts w:cs="Courier New"/>
    </w:rPr>
  </w:style>
  <w:style w:type="character" w:styleId="ListLabel69" w:customStyle="1">
    <w:name w:val="ListLabel 69"/>
    <w:rPr>
      <w:rFonts w:cs="Courier New"/>
    </w:rPr>
  </w:style>
  <w:style w:type="character" w:styleId="ListLabel70" w:customStyle="1">
    <w:name w:val="ListLabel 70"/>
    <w:rPr>
      <w:rFonts w:cs="Courier New"/>
    </w:rPr>
  </w:style>
  <w:style w:type="character" w:styleId="ListLabel71" w:customStyle="1">
    <w:name w:val="ListLabel 71"/>
    <w:rPr>
      <w:rFonts w:cs="Courier New"/>
    </w:rPr>
  </w:style>
  <w:style w:type="character" w:styleId="ListLabel72" w:customStyle="1">
    <w:name w:val="ListLabel 72"/>
    <w:rPr>
      <w:rFonts w:cs="Courier New"/>
    </w:rPr>
  </w:style>
  <w:style w:type="character" w:styleId="ListLabel73" w:customStyle="1">
    <w:name w:val="ListLabel 73"/>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4" w:customStyle="1">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5" w:customStyle="1">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6" w:customStyle="1">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7" w:customStyle="1">
    <w:name w:val="ListLabel 7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8" w:customStyle="1">
    <w:name w:val="ListLabel 78"/>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9" w:customStyle="1">
    <w:name w:val="ListLabel 79"/>
    <w:rPr>
      <w:rFonts w:cs="Times New Roman"/>
    </w:rPr>
  </w:style>
  <w:style w:type="character" w:styleId="ListLabel80" w:customStyle="1">
    <w:name w:val="ListLabel 80"/>
    <w:rPr>
      <w:rFonts w:cs="Times New Roman"/>
    </w:rPr>
  </w:style>
  <w:style w:type="character" w:styleId="ListLabel81" w:customStyle="1">
    <w:name w:val="ListLabel 81"/>
    <w:rPr>
      <w:rFonts w:cs="Times New Roman"/>
    </w:rPr>
  </w:style>
  <w:style w:type="character" w:styleId="ListLabel82" w:customStyle="1">
    <w:name w:val="ListLabel 82"/>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3" w:customStyle="1">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4" w:customStyle="1">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5" w:customStyle="1">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6" w:customStyle="1">
    <w:name w:val="ListLabel 8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7" w:customStyle="1">
    <w:name w:val="ListLabel 8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8" w:customStyle="1">
    <w:name w:val="ListLabel 88"/>
    <w:rPr>
      <w:rFonts w:cs="Times New Roman"/>
    </w:rPr>
  </w:style>
  <w:style w:type="character" w:styleId="ListLabel89" w:customStyle="1">
    <w:name w:val="ListLabel 89"/>
    <w:rPr>
      <w:rFonts w:cs="Times New Roman"/>
    </w:rPr>
  </w:style>
  <w:style w:type="character" w:styleId="ListLabel90" w:customStyle="1">
    <w:name w:val="ListLabel 90"/>
    <w:rPr>
      <w:rFonts w:cs="Times New Roman"/>
    </w:rPr>
  </w:style>
  <w:style w:type="numbering" w:styleId="NoList1" w:customStyle="1">
    <w:name w:val="No List_1"/>
    <w:basedOn w:val="NoList"/>
  </w:style>
  <w:style w:type="numbering" w:styleId="WWNum1" w:customStyle="1">
    <w:name w:val="WWNum1"/>
    <w:basedOn w:val="NoList"/>
  </w:style>
  <w:style w:type="numbering" w:styleId="WWNum2" w:customStyle="1">
    <w:name w:val="WWNum2"/>
    <w:basedOn w:val="NoList"/>
  </w:style>
  <w:style w:type="numbering" w:styleId="WWNum3" w:customStyle="1">
    <w:name w:val="WWNum3"/>
    <w:basedOn w:val="NoList"/>
  </w:style>
  <w:style w:type="numbering" w:styleId="WWNum4" w:customStyle="1">
    <w:name w:val="WWNum4"/>
    <w:basedOn w:val="NoList"/>
  </w:style>
  <w:style w:type="numbering" w:styleId="WWNum5" w:customStyle="1">
    <w:name w:val="WWNum5"/>
    <w:basedOn w:val="NoList"/>
  </w:style>
  <w:style w:type="numbering" w:styleId="WWNum6" w:customStyle="1">
    <w:name w:val="WWNum6"/>
    <w:basedOn w:val="NoList"/>
  </w:style>
  <w:style w:type="numbering" w:styleId="WWNum7" w:customStyle="1">
    <w:name w:val="WWNum7"/>
    <w:basedOn w:val="NoList"/>
  </w:style>
  <w:style w:type="numbering" w:styleId="WWNum8" w:customStyle="1">
    <w:name w:val="WWNum8"/>
    <w:basedOn w:val="NoList"/>
  </w:style>
  <w:style w:type="numbering" w:styleId="WWNum9" w:customStyle="1">
    <w:name w:val="WWNum9"/>
    <w:basedOn w:val="NoList"/>
  </w:style>
  <w:style w:type="numbering" w:styleId="WWNum10" w:customStyle="1">
    <w:name w:val="WWNum10"/>
    <w:basedOn w:val="NoList"/>
    <w:pPr>
      <w:numPr>
        <w:numId w:val="17"/>
      </w:numPr>
    </w:pPr>
  </w:style>
  <w:style w:type="numbering" w:styleId="WWNum11" w:customStyle="1">
    <w:name w:val="WWNum11"/>
    <w:basedOn w:val="NoList"/>
  </w:style>
  <w:style w:type="numbering" w:styleId="WWNum12" w:customStyle="1">
    <w:name w:val="WWNum12"/>
    <w:basedOn w:val="NoList"/>
  </w:style>
  <w:style w:type="numbering" w:styleId="WWNum13" w:customStyle="1">
    <w:name w:val="WWNum13"/>
    <w:basedOn w:val="NoList"/>
  </w:style>
  <w:style w:type="table" w:styleId="TableGrid">
    <w:name w:val="Table Grid"/>
    <w:basedOn w:val="TableNormal"/>
    <w:uiPriority w:val="39"/>
    <w:rsid w:val="007A5C9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AMainHeading" w:customStyle="1">
    <w:name w:val="FA: Main Heading"/>
    <w:basedOn w:val="Heading1"/>
    <w:qFormat w:val="1"/>
    <w:rsid w:val="00532FDD"/>
    <w:pPr>
      <w:numPr>
        <w:numId w:val="15"/>
      </w:numPr>
      <w:tabs>
        <w:tab w:val="num" w:pos="360"/>
      </w:tabs>
      <w:spacing w:after="20" w:before="20"/>
      <w:ind w:left="0" w:firstLine="0"/>
    </w:pPr>
    <w:rPr>
      <w:rFonts w:ascii="Arial" w:cs="Arial" w:eastAsia="Calibri" w:hAnsi="Arial"/>
      <w:b w:val="1"/>
      <w:color w:val="auto"/>
      <w:sz w:val="22"/>
      <w:szCs w:val="36"/>
    </w:rPr>
  </w:style>
  <w:style w:type="paragraph" w:styleId="FALevel1" w:customStyle="1">
    <w:name w:val="FA: Level 1"/>
    <w:basedOn w:val="Normal"/>
    <w:link w:val="FALevel1Char"/>
    <w:qFormat w:val="1"/>
    <w:rsid w:val="00532FDD"/>
    <w:pPr>
      <w:widowControl w:val="1"/>
      <w:numPr>
        <w:ilvl w:val="1"/>
        <w:numId w:val="15"/>
      </w:numPr>
      <w:spacing w:after="280" w:before="120" w:line="259" w:lineRule="auto"/>
    </w:pPr>
    <w:rPr>
      <w:rFonts w:ascii="Arial" w:cs="Arial" w:hAnsi="Arial" w:eastAsiaTheme="minorHAnsi"/>
    </w:rPr>
  </w:style>
  <w:style w:type="character" w:styleId="FALevel1Char" w:customStyle="1">
    <w:name w:val="FA: Level 1 Char"/>
    <w:basedOn w:val="DefaultParagraphFont"/>
    <w:link w:val="FALevel1"/>
    <w:rsid w:val="00532FDD"/>
    <w:rPr>
      <w:rFonts w:ascii="Arial" w:cs="Arial" w:hAnsi="Arial" w:eastAsiaTheme="minorHAnsi"/>
    </w:rPr>
  </w:style>
  <w:style w:type="paragraph" w:styleId="FALevel2" w:customStyle="1">
    <w:name w:val="FA: Level 2"/>
    <w:basedOn w:val="Normal"/>
    <w:link w:val="FALevel2Char"/>
    <w:qFormat w:val="1"/>
    <w:rsid w:val="00532FDD"/>
    <w:pPr>
      <w:widowControl w:val="1"/>
      <w:numPr>
        <w:ilvl w:val="2"/>
        <w:numId w:val="15"/>
      </w:numPr>
      <w:spacing w:after="280" w:before="120" w:line="259" w:lineRule="auto"/>
    </w:pPr>
    <w:rPr>
      <w:rFonts w:ascii="Arial" w:cs="Arial" w:hAnsi="Arial" w:eastAsiaTheme="minorHAnsi"/>
    </w:rPr>
  </w:style>
  <w:style w:type="character" w:styleId="FALevel2Char" w:customStyle="1">
    <w:name w:val="FA: Level 2 Char"/>
    <w:basedOn w:val="DefaultParagraphFont"/>
    <w:link w:val="FALevel2"/>
    <w:rsid w:val="00532FDD"/>
    <w:rPr>
      <w:rFonts w:ascii="Arial" w:cs="Arial" w:hAnsi="Arial" w:eastAsiaTheme="minorHAnsi"/>
    </w:rPr>
  </w:style>
  <w:style w:type="character" w:styleId="Heading1Char" w:customStyle="1">
    <w:name w:val="Heading 1 Char"/>
    <w:basedOn w:val="DefaultParagraphFont"/>
    <w:link w:val="Heading1"/>
    <w:uiPriority w:val="9"/>
    <w:rsid w:val="00532FDD"/>
    <w:rPr>
      <w:rFonts w:asciiTheme="majorHAnsi" w:cstheme="majorBidi" w:eastAsiaTheme="majorEastAsia" w:hAnsiTheme="majorHAnsi"/>
      <w:color w:val="2f5496" w:themeColor="accent1" w:themeShade="0000BF"/>
      <w:sz w:val="32"/>
      <w:szCs w:val="32"/>
    </w:rPr>
  </w:style>
  <w:style w:type="paragraph" w:styleId="FABulletPoints" w:customStyle="1">
    <w:name w:val="FA: Bullet Points"/>
    <w:basedOn w:val="Normal"/>
    <w:link w:val="FABulletPointsChar"/>
    <w:qFormat w:val="1"/>
    <w:rsid w:val="00532FDD"/>
    <w:pPr>
      <w:widowControl w:val="1"/>
      <w:tabs>
        <w:tab w:val="num" w:pos="720"/>
      </w:tabs>
      <w:ind w:left="720" w:hanging="720"/>
    </w:pPr>
    <w:rPr>
      <w:rFonts w:ascii="Arial" w:cs="Arial" w:hAnsi="Arial" w:eastAsiaTheme="minorHAnsi"/>
    </w:rPr>
  </w:style>
  <w:style w:type="character" w:styleId="FABulletPointsChar" w:customStyle="1">
    <w:name w:val="FA: Bullet Points Char"/>
    <w:basedOn w:val="DefaultParagraphFont"/>
    <w:link w:val="FABulletPoints"/>
    <w:rsid w:val="00532FDD"/>
    <w:rPr>
      <w:rFonts w:ascii="Arial" w:cs="Arial" w:hAnsi="Arial" w:eastAsiaTheme="minorHAnsi"/>
    </w:rPr>
  </w:style>
  <w:style w:type="paragraph" w:styleId="Revision">
    <w:name w:val="Revision"/>
    <w:hidden w:val="1"/>
    <w:uiPriority w:val="99"/>
    <w:semiHidden w:val="1"/>
    <w:rsid w:val="00CE0EDB"/>
    <w:pPr>
      <w:widowControl w:val="1"/>
    </w:p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KMTGd+P2on02S8f5Xnvbh0joGsw==">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2020-10-15T09:02:00Z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